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685" w:rsidRPr="002D5C4F" w:rsidRDefault="00AD4685" w:rsidP="00AD4685">
      <w:pPr>
        <w:jc w:val="center"/>
        <w:rPr>
          <w:b/>
        </w:rPr>
      </w:pPr>
      <w:bookmarkStart w:id="0" w:name="_GoBack"/>
      <w:bookmarkEnd w:id="0"/>
      <w:r w:rsidRPr="002D5C4F">
        <w:rPr>
          <w:b/>
        </w:rPr>
        <w:t>10. ВЛИЯНИЕ ЭКОЛОГИЧЕСКИХ ФАКТОРОВ СРЕДЫ ОБИТАНИЯ</w:t>
      </w:r>
    </w:p>
    <w:p w:rsidR="00AD4685" w:rsidRPr="002D5C4F" w:rsidRDefault="00AD4685" w:rsidP="00AD4685">
      <w:pPr>
        <w:jc w:val="center"/>
        <w:rPr>
          <w:b/>
        </w:rPr>
      </w:pPr>
      <w:r w:rsidRPr="002D5C4F">
        <w:rPr>
          <w:b/>
        </w:rPr>
        <w:t>НА ЗДОРОВЬЕ НАСЕЛЕНИЯ</w:t>
      </w:r>
    </w:p>
    <w:p w:rsidR="00AD4685" w:rsidRPr="00D4142D" w:rsidRDefault="00AD4685" w:rsidP="00AD4685">
      <w:pPr>
        <w:jc w:val="center"/>
        <w:rPr>
          <w:b/>
          <w:sz w:val="16"/>
          <w:szCs w:val="16"/>
        </w:rPr>
      </w:pPr>
    </w:p>
    <w:p w:rsidR="00AD4685" w:rsidRDefault="00AD4685" w:rsidP="00AD4685">
      <w:pPr>
        <w:jc w:val="center"/>
      </w:pPr>
      <w:r w:rsidRPr="002D5C4F">
        <w:t>(данные Управления Роспотребнадзора по Нижегородской области</w:t>
      </w:r>
      <w:r w:rsidR="00767E20" w:rsidRPr="002D5C4F">
        <w:t xml:space="preserve"> </w:t>
      </w:r>
      <w:r w:rsidR="002D5C4F" w:rsidRPr="002D5C4F">
        <w:t>за 2019 год)</w:t>
      </w:r>
    </w:p>
    <w:p w:rsidR="005D2F29" w:rsidRPr="00D4142D" w:rsidRDefault="005D2F29" w:rsidP="005D2F29">
      <w:pPr>
        <w:ind w:firstLine="709"/>
        <w:rPr>
          <w:sz w:val="16"/>
          <w:szCs w:val="16"/>
        </w:rPr>
      </w:pPr>
    </w:p>
    <w:p w:rsidR="005D2F29" w:rsidRPr="00391C26" w:rsidRDefault="005D2F29" w:rsidP="005D2F29">
      <w:pPr>
        <w:pStyle w:val="3"/>
        <w:spacing w:before="0" w:after="0"/>
        <w:ind w:firstLine="709"/>
        <w:rPr>
          <w:rFonts w:ascii="Times New Roman" w:hAnsi="Times New Roman" w:cs="Times New Roman"/>
          <w:sz w:val="24"/>
          <w:szCs w:val="24"/>
        </w:rPr>
      </w:pPr>
      <w:bookmarkStart w:id="1" w:name="_Toc34133991"/>
      <w:r w:rsidRPr="00391C26">
        <w:rPr>
          <w:rFonts w:ascii="Times New Roman" w:hAnsi="Times New Roman" w:cs="Times New Roman"/>
          <w:sz w:val="24"/>
          <w:szCs w:val="24"/>
        </w:rPr>
        <w:t>Анализ состояния среды обитания</w:t>
      </w:r>
      <w:bookmarkEnd w:id="1"/>
    </w:p>
    <w:p w:rsidR="005D2F29" w:rsidRPr="00D4142D" w:rsidRDefault="005D2F29" w:rsidP="005D2F29">
      <w:pPr>
        <w:tabs>
          <w:tab w:val="left" w:pos="709"/>
        </w:tabs>
        <w:ind w:firstLine="709"/>
        <w:jc w:val="center"/>
        <w:rPr>
          <w:b/>
          <w:sz w:val="16"/>
          <w:szCs w:val="16"/>
        </w:rPr>
      </w:pPr>
    </w:p>
    <w:p w:rsidR="005D2F29" w:rsidRPr="00391C26" w:rsidRDefault="005D2F29" w:rsidP="005D2F29">
      <w:pPr>
        <w:spacing w:before="120"/>
        <w:ind w:left="720"/>
        <w:rPr>
          <w:b/>
        </w:rPr>
      </w:pPr>
      <w:r w:rsidRPr="00391C26">
        <w:rPr>
          <w:b/>
        </w:rPr>
        <w:t>Гигиенические проблемы состояния водных объектов I и II категории</w:t>
      </w:r>
    </w:p>
    <w:p w:rsidR="005D2F29" w:rsidRPr="00D4142D" w:rsidRDefault="005D2F29" w:rsidP="005D2F29">
      <w:pPr>
        <w:spacing w:before="120"/>
        <w:ind w:left="720"/>
        <w:rPr>
          <w:b/>
          <w:sz w:val="16"/>
          <w:szCs w:val="16"/>
        </w:rPr>
      </w:pPr>
    </w:p>
    <w:p w:rsidR="005D2F29" w:rsidRPr="00391C26" w:rsidRDefault="005D2F29" w:rsidP="004638B2">
      <w:pPr>
        <w:ind w:firstLine="708"/>
        <w:jc w:val="both"/>
      </w:pPr>
      <w:r w:rsidRPr="00391C26">
        <w:t>На территории Нижегородской области рассредоточены зн</w:t>
      </w:r>
      <w:r w:rsidR="004638B2">
        <w:t xml:space="preserve">ачительные запасы пресных вод. </w:t>
      </w:r>
      <w:r w:rsidRPr="00391C26">
        <w:t>Поверхностные водные ресурсы Нижегородской области сформированы Горьковским и Чебоксарским водохранилищами - 9000 рек общей протяженностью более 25000 км. Основными поверхностными источниками, обеспечивающими водой 65% на</w:t>
      </w:r>
      <w:r w:rsidR="004638B2">
        <w:t xml:space="preserve">селения Нижегородской области, </w:t>
      </w:r>
      <w:r w:rsidRPr="00391C26">
        <w:t>являются Горьковское водохранилище, реки Ока, Волга, Валава, Керженец и др. 35% населения получают воду из подземных источников, расположенных в пределах трех артезианских бассейнов подземных вод – Волго-Сурского, Ветлужского и Московского.</w:t>
      </w:r>
    </w:p>
    <w:p w:rsidR="005D2F29" w:rsidRPr="00391C26" w:rsidRDefault="005D2F29" w:rsidP="004638B2">
      <w:pPr>
        <w:ind w:firstLine="709"/>
        <w:jc w:val="both"/>
      </w:pPr>
      <w:r w:rsidRPr="00391C26">
        <w:t>Проведенный анализ качества воды источников централизованного водоснабжения в местах водозабора позволяет сделать  выводы, что качество воды источников централизованного водоснабжения, как поверхностных, так и подземных, в течение ряда последних ряда лет остается отно</w:t>
      </w:r>
      <w:r w:rsidR="004638B2">
        <w:t>сительно стабильным (Табл. №1, Рис. №1).</w:t>
      </w:r>
    </w:p>
    <w:p w:rsidR="005D2F29" w:rsidRPr="00391C26" w:rsidRDefault="004638B2" w:rsidP="005D2F29">
      <w:pPr>
        <w:ind w:firstLine="709"/>
        <w:jc w:val="right"/>
        <w:rPr>
          <w:sz w:val="22"/>
          <w:szCs w:val="22"/>
        </w:rPr>
      </w:pPr>
      <w:r>
        <w:rPr>
          <w:sz w:val="22"/>
          <w:szCs w:val="22"/>
        </w:rPr>
        <w:t>Таблица №1</w:t>
      </w:r>
    </w:p>
    <w:p w:rsidR="005D2F29" w:rsidRPr="00D4142D" w:rsidRDefault="005D2F29" w:rsidP="005D2F29">
      <w:pPr>
        <w:ind w:firstLine="709"/>
        <w:jc w:val="center"/>
        <w:rPr>
          <w:b/>
          <w:sz w:val="16"/>
          <w:szCs w:val="16"/>
        </w:rPr>
      </w:pPr>
    </w:p>
    <w:p w:rsidR="005D2F29" w:rsidRPr="00391C26" w:rsidRDefault="005D2F29" w:rsidP="00D4142D">
      <w:pPr>
        <w:jc w:val="center"/>
        <w:rPr>
          <w:b/>
          <w:sz w:val="22"/>
          <w:szCs w:val="22"/>
        </w:rPr>
      </w:pPr>
      <w:r w:rsidRPr="00391C26">
        <w:rPr>
          <w:b/>
          <w:sz w:val="22"/>
          <w:szCs w:val="22"/>
        </w:rPr>
        <w:t>Состояние источников централизованного водоснабжения в местах водозабора</w:t>
      </w:r>
    </w:p>
    <w:p w:rsidR="005D2F29" w:rsidRPr="00D4142D" w:rsidRDefault="005D2F29" w:rsidP="00D4142D">
      <w:pPr>
        <w:jc w:val="center"/>
        <w:rPr>
          <w:b/>
          <w:sz w:val="16"/>
          <w:szCs w:val="16"/>
        </w:rPr>
      </w:pPr>
    </w:p>
    <w:tbl>
      <w:tblPr>
        <w:tblW w:w="9764" w:type="dxa"/>
        <w:jc w:val="center"/>
        <w:tblLayout w:type="fixed"/>
        <w:tblLook w:val="01E0"/>
      </w:tblPr>
      <w:tblGrid>
        <w:gridCol w:w="1138"/>
        <w:gridCol w:w="568"/>
        <w:gridCol w:w="709"/>
        <w:gridCol w:w="709"/>
        <w:gridCol w:w="990"/>
        <w:gridCol w:w="708"/>
        <w:gridCol w:w="709"/>
        <w:gridCol w:w="709"/>
        <w:gridCol w:w="920"/>
        <w:gridCol w:w="567"/>
        <w:gridCol w:w="567"/>
        <w:gridCol w:w="567"/>
        <w:gridCol w:w="903"/>
      </w:tblGrid>
      <w:tr w:rsidR="005D2F29" w:rsidRPr="00391C26" w:rsidTr="00D4142D">
        <w:trPr>
          <w:trHeight w:val="1819"/>
          <w:jc w:val="center"/>
        </w:trPr>
        <w:tc>
          <w:tcPr>
            <w:tcW w:w="113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p>
        </w:tc>
        <w:tc>
          <w:tcPr>
            <w:tcW w:w="2976"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Удельный вес проб воды, не соответствующих требованиям гигиенических нормативов по санитарно-химическим показателям, %</w:t>
            </w:r>
          </w:p>
        </w:tc>
        <w:tc>
          <w:tcPr>
            <w:tcW w:w="3046"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Удельный вес проб воды, не соответствующих требованиям гигиенических нормативов по</w:t>
            </w:r>
          </w:p>
          <w:p w:rsidR="005D2F29" w:rsidRPr="00391C26" w:rsidRDefault="005D2F29" w:rsidP="00D4142D">
            <w:pPr>
              <w:rPr>
                <w:lang w:eastAsia="en-US"/>
              </w:rPr>
            </w:pPr>
            <w:r w:rsidRPr="00391C26">
              <w:rPr>
                <w:sz w:val="22"/>
                <w:szCs w:val="22"/>
                <w:lang w:eastAsia="en-US"/>
              </w:rPr>
              <w:t>микробиологическим</w:t>
            </w:r>
          </w:p>
          <w:p w:rsidR="005D2F29" w:rsidRPr="00391C26" w:rsidRDefault="005D2F29" w:rsidP="00D4142D">
            <w:pPr>
              <w:rPr>
                <w:lang w:eastAsia="en-US"/>
              </w:rPr>
            </w:pPr>
            <w:r w:rsidRPr="00391C26">
              <w:rPr>
                <w:sz w:val="22"/>
                <w:szCs w:val="22"/>
                <w:lang w:eastAsia="en-US"/>
              </w:rPr>
              <w:t>показателям, %</w:t>
            </w:r>
          </w:p>
        </w:tc>
        <w:tc>
          <w:tcPr>
            <w:tcW w:w="2604"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Удельный вес проб воды, не соответствующих требованиям гигиенических нормативов по</w:t>
            </w:r>
          </w:p>
          <w:p w:rsidR="005D2F29" w:rsidRPr="00391C26" w:rsidRDefault="005D2F29" w:rsidP="00D4142D">
            <w:pPr>
              <w:rPr>
                <w:lang w:eastAsia="en-US"/>
              </w:rPr>
            </w:pPr>
            <w:r w:rsidRPr="00391C26">
              <w:rPr>
                <w:sz w:val="22"/>
                <w:szCs w:val="22"/>
                <w:lang w:eastAsia="en-US"/>
              </w:rPr>
              <w:t>паразитологическим показателям, %</w:t>
            </w:r>
          </w:p>
        </w:tc>
      </w:tr>
      <w:tr w:rsidR="005D2F29" w:rsidRPr="00391C26" w:rsidTr="004638B2">
        <w:trPr>
          <w:jc w:val="center"/>
        </w:trPr>
        <w:tc>
          <w:tcPr>
            <w:tcW w:w="113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p>
        </w:tc>
        <w:tc>
          <w:tcPr>
            <w:tcW w:w="5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ind w:left="-58" w:right="-55"/>
              <w:rPr>
                <w:lang w:eastAsia="en-US"/>
              </w:rPr>
            </w:pPr>
            <w:r w:rsidRPr="00391C26">
              <w:rPr>
                <w:sz w:val="22"/>
                <w:szCs w:val="22"/>
                <w:lang w:eastAsia="en-US"/>
              </w:rPr>
              <w:t>2017</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ind w:left="-58" w:right="-55"/>
              <w:rPr>
                <w:lang w:eastAsia="en-US"/>
              </w:rPr>
            </w:pPr>
            <w:r w:rsidRPr="00391C26">
              <w:rPr>
                <w:sz w:val="22"/>
                <w:szCs w:val="22"/>
                <w:lang w:eastAsia="en-US"/>
              </w:rPr>
              <w:t>2018</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ind w:left="-58" w:right="-55"/>
              <w:rPr>
                <w:lang w:eastAsia="en-US"/>
              </w:rPr>
            </w:pPr>
            <w:r w:rsidRPr="00391C26">
              <w:rPr>
                <w:sz w:val="22"/>
                <w:szCs w:val="22"/>
                <w:lang w:eastAsia="en-US"/>
              </w:rPr>
              <w:t>2019</w:t>
            </w:r>
          </w:p>
        </w:tc>
        <w:tc>
          <w:tcPr>
            <w:tcW w:w="99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4638B2" w:rsidP="00D4142D">
            <w:pPr>
              <w:ind w:left="-58" w:right="-55"/>
              <w:rPr>
                <w:lang w:eastAsia="en-US"/>
              </w:rPr>
            </w:pPr>
            <w:r>
              <w:rPr>
                <w:sz w:val="22"/>
                <w:szCs w:val="22"/>
                <w:lang w:eastAsia="en-US"/>
              </w:rPr>
              <w:t xml:space="preserve">Темп прироста к </w:t>
            </w:r>
            <w:r w:rsidR="005D2F29" w:rsidRPr="00391C26">
              <w:rPr>
                <w:sz w:val="22"/>
                <w:szCs w:val="22"/>
                <w:lang w:eastAsia="en-US"/>
              </w:rPr>
              <w:t>2017 году,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ind w:left="-58" w:right="-55"/>
              <w:rPr>
                <w:lang w:eastAsia="en-US"/>
              </w:rPr>
            </w:pPr>
            <w:r w:rsidRPr="00391C26">
              <w:rPr>
                <w:sz w:val="22"/>
                <w:szCs w:val="22"/>
                <w:lang w:eastAsia="en-US"/>
              </w:rPr>
              <w:t>2017</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ind w:left="-58" w:right="-55"/>
              <w:rPr>
                <w:lang w:eastAsia="en-US"/>
              </w:rPr>
            </w:pPr>
            <w:r w:rsidRPr="00391C26">
              <w:rPr>
                <w:sz w:val="22"/>
                <w:szCs w:val="22"/>
                <w:lang w:eastAsia="en-US"/>
              </w:rPr>
              <w:t>2018</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ind w:left="-58" w:right="-55"/>
              <w:rPr>
                <w:lang w:eastAsia="en-US"/>
              </w:rPr>
            </w:pPr>
            <w:r w:rsidRPr="00391C26">
              <w:rPr>
                <w:sz w:val="22"/>
                <w:szCs w:val="22"/>
                <w:lang w:eastAsia="en-US"/>
              </w:rPr>
              <w:t>2019</w:t>
            </w:r>
          </w:p>
        </w:tc>
        <w:tc>
          <w:tcPr>
            <w:tcW w:w="9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4638B2" w:rsidP="00D4142D">
            <w:pPr>
              <w:ind w:left="-58" w:right="-55"/>
              <w:rPr>
                <w:lang w:eastAsia="en-US"/>
              </w:rPr>
            </w:pPr>
            <w:r>
              <w:rPr>
                <w:sz w:val="22"/>
                <w:szCs w:val="22"/>
                <w:lang w:eastAsia="en-US"/>
              </w:rPr>
              <w:t xml:space="preserve">Темп прироста к </w:t>
            </w:r>
            <w:r w:rsidR="005D2F29" w:rsidRPr="00391C26">
              <w:rPr>
                <w:sz w:val="22"/>
                <w:szCs w:val="22"/>
                <w:lang w:eastAsia="en-US"/>
              </w:rPr>
              <w:t>2017 году, %</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ind w:left="-58" w:right="-55"/>
              <w:rPr>
                <w:lang w:eastAsia="en-US"/>
              </w:rPr>
            </w:pPr>
            <w:r w:rsidRPr="00391C26">
              <w:rPr>
                <w:sz w:val="22"/>
                <w:szCs w:val="22"/>
                <w:lang w:eastAsia="en-US"/>
              </w:rPr>
              <w:t>2017</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ind w:left="-58" w:right="-55"/>
              <w:rPr>
                <w:lang w:eastAsia="en-US"/>
              </w:rPr>
            </w:pPr>
            <w:r w:rsidRPr="00391C26">
              <w:rPr>
                <w:sz w:val="22"/>
                <w:szCs w:val="22"/>
                <w:lang w:eastAsia="en-US"/>
              </w:rPr>
              <w:t>2018</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ind w:left="-58" w:right="-55"/>
              <w:rPr>
                <w:lang w:eastAsia="en-US"/>
              </w:rPr>
            </w:pPr>
            <w:r w:rsidRPr="00391C26">
              <w:rPr>
                <w:sz w:val="22"/>
                <w:szCs w:val="22"/>
                <w:lang w:eastAsia="en-US"/>
              </w:rPr>
              <w:t>2019</w:t>
            </w:r>
          </w:p>
        </w:tc>
        <w:tc>
          <w:tcPr>
            <w:tcW w:w="90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ind w:left="-58" w:right="-55"/>
              <w:rPr>
                <w:lang w:eastAsia="en-US"/>
              </w:rPr>
            </w:pPr>
            <w:r w:rsidRPr="00391C26">
              <w:rPr>
                <w:sz w:val="22"/>
                <w:szCs w:val="22"/>
                <w:lang w:eastAsia="en-US"/>
              </w:rPr>
              <w:t>Темп прироста</w:t>
            </w:r>
            <w:r w:rsidR="004638B2">
              <w:rPr>
                <w:sz w:val="22"/>
                <w:szCs w:val="22"/>
                <w:lang w:eastAsia="en-US"/>
              </w:rPr>
              <w:t xml:space="preserve"> к</w:t>
            </w:r>
            <w:r w:rsidRPr="00391C26">
              <w:rPr>
                <w:sz w:val="22"/>
                <w:szCs w:val="22"/>
                <w:lang w:eastAsia="en-US"/>
              </w:rPr>
              <w:t xml:space="preserve"> 2017 году, %</w:t>
            </w:r>
          </w:p>
        </w:tc>
      </w:tr>
      <w:tr w:rsidR="005D2F29" w:rsidRPr="00391C26" w:rsidTr="004638B2">
        <w:trPr>
          <w:jc w:val="center"/>
        </w:trPr>
        <w:tc>
          <w:tcPr>
            <w:tcW w:w="113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FB7FA3" w:rsidRDefault="005D2F29" w:rsidP="00D4142D">
            <w:pPr>
              <w:rPr>
                <w:sz w:val="21"/>
                <w:szCs w:val="21"/>
                <w:lang w:eastAsia="en-US"/>
              </w:rPr>
            </w:pPr>
            <w:r w:rsidRPr="00FB7FA3">
              <w:rPr>
                <w:sz w:val="21"/>
                <w:szCs w:val="21"/>
                <w:lang w:eastAsia="en-US"/>
              </w:rPr>
              <w:t>Источники централизованного водоснабжения</w:t>
            </w:r>
          </w:p>
        </w:tc>
        <w:tc>
          <w:tcPr>
            <w:tcW w:w="5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27,3</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28,3</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24,3</w:t>
            </w:r>
          </w:p>
        </w:tc>
        <w:tc>
          <w:tcPr>
            <w:tcW w:w="99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-15,3</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5,7</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4,7</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7,0</w:t>
            </w:r>
          </w:p>
        </w:tc>
        <w:tc>
          <w:tcPr>
            <w:tcW w:w="9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62,7</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eastAsia="en-US"/>
              </w:rPr>
              <w:t>0</w:t>
            </w:r>
          </w:p>
        </w:tc>
        <w:tc>
          <w:tcPr>
            <w:tcW w:w="90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D4142D">
            <w:pPr>
              <w:rPr>
                <w:lang w:eastAsia="en-US"/>
              </w:rPr>
            </w:pPr>
            <w:r w:rsidRPr="00391C26">
              <w:rPr>
                <w:sz w:val="22"/>
                <w:szCs w:val="22"/>
                <w:lang w:val="en-US" w:eastAsia="en-US"/>
              </w:rPr>
              <w:t>*</w:t>
            </w:r>
          </w:p>
        </w:tc>
      </w:tr>
    </w:tbl>
    <w:p w:rsidR="005D2F29" w:rsidRPr="00D4142D" w:rsidRDefault="005D2F29" w:rsidP="00D4142D">
      <w:pPr>
        <w:rPr>
          <w:sz w:val="16"/>
          <w:szCs w:val="16"/>
        </w:rPr>
      </w:pPr>
    </w:p>
    <w:p w:rsidR="005D2F29" w:rsidRPr="00391C26" w:rsidRDefault="005D2F29" w:rsidP="005D2F29">
      <w:pPr>
        <w:rPr>
          <w:sz w:val="22"/>
          <w:szCs w:val="22"/>
        </w:rPr>
      </w:pPr>
      <w:r>
        <w:rPr>
          <w:noProof/>
        </w:rPr>
        <w:drawing>
          <wp:inline distT="0" distB="0" distL="0" distR="0">
            <wp:extent cx="5722620" cy="1889760"/>
            <wp:effectExtent l="19050" t="0" r="11430" b="0"/>
            <wp:docPr id="36"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D2F29" w:rsidRDefault="005D2F29" w:rsidP="005D2F29">
      <w:pPr>
        <w:ind w:firstLine="709"/>
        <w:jc w:val="center"/>
        <w:rPr>
          <w:sz w:val="22"/>
          <w:szCs w:val="22"/>
        </w:rPr>
      </w:pPr>
    </w:p>
    <w:p w:rsidR="005D2F29" w:rsidRPr="00391C26" w:rsidRDefault="005D2F29" w:rsidP="005D2F29">
      <w:pPr>
        <w:ind w:firstLine="709"/>
        <w:jc w:val="center"/>
        <w:rPr>
          <w:sz w:val="22"/>
          <w:szCs w:val="22"/>
        </w:rPr>
      </w:pPr>
      <w:r w:rsidRPr="00391C26">
        <w:rPr>
          <w:sz w:val="22"/>
          <w:szCs w:val="22"/>
        </w:rPr>
        <w:t>Рис.№1 Динамика качества воды централизованных источников водоснабжения</w:t>
      </w:r>
    </w:p>
    <w:p w:rsidR="005D2F29" w:rsidRPr="00391C26" w:rsidRDefault="005D2F29" w:rsidP="00D4142D">
      <w:pPr>
        <w:ind w:firstLine="709"/>
        <w:jc w:val="both"/>
      </w:pPr>
      <w:r w:rsidRPr="00391C26">
        <w:lastRenderedPageBreak/>
        <w:t>Удельный вес проб воды источников, не соответствующих требованиям гигиенических нормативов по санитарно-химическим показателям в 2019 году составил 24,3% (2018 год – 28,3), по микробиологическим – 7,0% (2018 год – 4,7%). (Табл. №2)</w:t>
      </w:r>
    </w:p>
    <w:p w:rsidR="005D2F29" w:rsidRPr="00206C4D" w:rsidRDefault="005D2F29" w:rsidP="005D2F29">
      <w:pPr>
        <w:jc w:val="right"/>
        <w:rPr>
          <w:sz w:val="16"/>
          <w:szCs w:val="16"/>
        </w:rPr>
      </w:pPr>
    </w:p>
    <w:p w:rsidR="005D2F29" w:rsidRPr="00391C26" w:rsidRDefault="005D2F29" w:rsidP="005D2F29">
      <w:pPr>
        <w:jc w:val="right"/>
        <w:rPr>
          <w:sz w:val="22"/>
          <w:szCs w:val="22"/>
        </w:rPr>
      </w:pPr>
      <w:r w:rsidRPr="00391C26">
        <w:rPr>
          <w:sz w:val="22"/>
          <w:szCs w:val="22"/>
        </w:rPr>
        <w:t>Таблица №2</w:t>
      </w:r>
    </w:p>
    <w:p w:rsidR="005D2F29" w:rsidRPr="00206C4D" w:rsidRDefault="005D2F29" w:rsidP="005D2F29">
      <w:pPr>
        <w:jc w:val="right"/>
        <w:rPr>
          <w:sz w:val="16"/>
          <w:szCs w:val="16"/>
        </w:rPr>
      </w:pPr>
    </w:p>
    <w:p w:rsidR="005D2F29" w:rsidRPr="00391C26" w:rsidRDefault="005D2F29" w:rsidP="00206C4D">
      <w:pPr>
        <w:jc w:val="center"/>
        <w:rPr>
          <w:b/>
          <w:sz w:val="22"/>
          <w:szCs w:val="22"/>
        </w:rPr>
      </w:pPr>
      <w:r w:rsidRPr="00391C26">
        <w:rPr>
          <w:b/>
          <w:sz w:val="22"/>
          <w:szCs w:val="22"/>
        </w:rPr>
        <w:t>Состояние поверхностных и подземных источников</w:t>
      </w:r>
    </w:p>
    <w:p w:rsidR="005D2F29" w:rsidRPr="00391C26" w:rsidRDefault="005D2F29" w:rsidP="00206C4D">
      <w:pPr>
        <w:jc w:val="center"/>
        <w:rPr>
          <w:b/>
          <w:sz w:val="22"/>
          <w:szCs w:val="22"/>
        </w:rPr>
      </w:pPr>
      <w:r w:rsidRPr="00391C26">
        <w:rPr>
          <w:b/>
          <w:sz w:val="22"/>
          <w:szCs w:val="22"/>
        </w:rPr>
        <w:t>Централизованного водоснабжения в местах водозабора</w:t>
      </w:r>
    </w:p>
    <w:p w:rsidR="005D2F29" w:rsidRPr="00206C4D" w:rsidRDefault="005D2F29" w:rsidP="00206C4D">
      <w:pPr>
        <w:jc w:val="center"/>
        <w:rPr>
          <w:b/>
          <w:sz w:val="16"/>
          <w:szCs w:val="16"/>
        </w:rPr>
      </w:pPr>
    </w:p>
    <w:tbl>
      <w:tblPr>
        <w:tblW w:w="9216" w:type="dxa"/>
        <w:jc w:val="center"/>
        <w:tblLayout w:type="fixed"/>
        <w:tblLook w:val="01E0"/>
      </w:tblPr>
      <w:tblGrid>
        <w:gridCol w:w="3831"/>
        <w:gridCol w:w="567"/>
        <w:gridCol w:w="567"/>
        <w:gridCol w:w="567"/>
        <w:gridCol w:w="992"/>
        <w:gridCol w:w="567"/>
        <w:gridCol w:w="567"/>
        <w:gridCol w:w="567"/>
        <w:gridCol w:w="991"/>
      </w:tblGrid>
      <w:tr w:rsidR="005D2F29" w:rsidRPr="00391C26" w:rsidTr="00D4142D">
        <w:trPr>
          <w:trHeight w:val="1133"/>
          <w:jc w:val="center"/>
        </w:trPr>
        <w:tc>
          <w:tcPr>
            <w:tcW w:w="3831"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p>
        </w:tc>
        <w:tc>
          <w:tcPr>
            <w:tcW w:w="2693"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Поверхностные источники централизованного питьевого водоснабжения</w:t>
            </w:r>
          </w:p>
        </w:tc>
        <w:tc>
          <w:tcPr>
            <w:tcW w:w="2692"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Подземные источники централизованного питьевого водоснабжения</w:t>
            </w:r>
          </w:p>
        </w:tc>
      </w:tr>
      <w:tr w:rsidR="005D2F29" w:rsidRPr="00391C26" w:rsidTr="00206C4D">
        <w:trPr>
          <w:trHeight w:val="672"/>
          <w:jc w:val="center"/>
        </w:trPr>
        <w:tc>
          <w:tcPr>
            <w:tcW w:w="3831"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206C4D">
            <w:pPr>
              <w:rPr>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2017</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2018</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2019</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D4142D" w:rsidP="00206C4D">
            <w:pPr>
              <w:jc w:val="center"/>
              <w:rPr>
                <w:lang w:eastAsia="en-US"/>
              </w:rPr>
            </w:pPr>
            <w:r>
              <w:rPr>
                <w:sz w:val="22"/>
                <w:szCs w:val="22"/>
                <w:lang w:eastAsia="en-US"/>
              </w:rPr>
              <w:t xml:space="preserve">Темп прироста к </w:t>
            </w:r>
            <w:r w:rsidR="005D2F29" w:rsidRPr="00391C26">
              <w:rPr>
                <w:sz w:val="22"/>
                <w:szCs w:val="22"/>
                <w:lang w:eastAsia="en-US"/>
              </w:rPr>
              <w:t>2017 году, %</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2017</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2018</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2019</w:t>
            </w:r>
          </w:p>
        </w:tc>
        <w:tc>
          <w:tcPr>
            <w:tcW w:w="99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D4142D" w:rsidP="00206C4D">
            <w:pPr>
              <w:jc w:val="center"/>
              <w:rPr>
                <w:lang w:eastAsia="en-US"/>
              </w:rPr>
            </w:pPr>
            <w:r>
              <w:rPr>
                <w:sz w:val="22"/>
                <w:szCs w:val="22"/>
                <w:lang w:eastAsia="en-US"/>
              </w:rPr>
              <w:t xml:space="preserve">Темп прироста к </w:t>
            </w:r>
            <w:r w:rsidR="005D2F29" w:rsidRPr="00391C26">
              <w:rPr>
                <w:sz w:val="22"/>
                <w:szCs w:val="22"/>
                <w:lang w:eastAsia="en-US"/>
              </w:rPr>
              <w:t>2017 году, %</w:t>
            </w:r>
          </w:p>
        </w:tc>
      </w:tr>
      <w:tr w:rsidR="005D2F29" w:rsidRPr="00391C26" w:rsidTr="00D4142D">
        <w:trPr>
          <w:trHeight w:val="1143"/>
          <w:jc w:val="center"/>
        </w:trPr>
        <w:tc>
          <w:tcPr>
            <w:tcW w:w="38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rPr>
                <w:lang w:eastAsia="en-US"/>
              </w:rPr>
            </w:pPr>
            <w:r w:rsidRPr="00391C26">
              <w:rPr>
                <w:sz w:val="22"/>
                <w:szCs w:val="22"/>
                <w:lang w:eastAsia="en-US"/>
              </w:rPr>
              <w:t>Удельный вес проб воды, не соответствующей требованиям гигиенических нормативов по санитарно-химическим показателям, %</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29,9</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26,0</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20,7</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-30,7</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26,8</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28,7</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24,8</w:t>
            </w:r>
          </w:p>
        </w:tc>
        <w:tc>
          <w:tcPr>
            <w:tcW w:w="99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-0,7</w:t>
            </w:r>
          </w:p>
        </w:tc>
      </w:tr>
      <w:tr w:rsidR="005D2F29" w:rsidRPr="00391C26" w:rsidTr="00D4142D">
        <w:trPr>
          <w:trHeight w:val="1222"/>
          <w:jc w:val="center"/>
        </w:trPr>
        <w:tc>
          <w:tcPr>
            <w:tcW w:w="38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rPr>
                <w:lang w:eastAsia="en-US"/>
              </w:rPr>
            </w:pPr>
            <w:r w:rsidRPr="00391C26">
              <w:rPr>
                <w:sz w:val="22"/>
                <w:szCs w:val="22"/>
                <w:lang w:eastAsia="en-US"/>
              </w:rPr>
              <w:t>Удельный вес проб воды, не соответствующей требованиям гигиенических нормативов по микробиологическим</w:t>
            </w:r>
          </w:p>
          <w:p w:rsidR="005D2F29" w:rsidRPr="00391C26" w:rsidRDefault="005D2F29" w:rsidP="00206C4D">
            <w:pPr>
              <w:rPr>
                <w:lang w:eastAsia="en-US"/>
              </w:rPr>
            </w:pPr>
            <w:r w:rsidRPr="00391C26">
              <w:rPr>
                <w:sz w:val="22"/>
                <w:szCs w:val="22"/>
                <w:lang w:eastAsia="en-US"/>
              </w:rPr>
              <w:t>показателям, %</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24,6</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16,0</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34,8</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val="en-US" w:eastAsia="en-US"/>
              </w:rPr>
            </w:pPr>
            <w:r w:rsidRPr="00391C26">
              <w:rPr>
                <w:sz w:val="22"/>
                <w:szCs w:val="22"/>
                <w:lang w:eastAsia="en-US"/>
              </w:rPr>
              <w:t>41,4</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3,2</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3,3</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3,4</w:t>
            </w:r>
          </w:p>
        </w:tc>
        <w:tc>
          <w:tcPr>
            <w:tcW w:w="99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6,25</w:t>
            </w:r>
          </w:p>
        </w:tc>
      </w:tr>
      <w:tr w:rsidR="005D2F29" w:rsidRPr="00391C26" w:rsidTr="00D4142D">
        <w:trPr>
          <w:trHeight w:val="1041"/>
          <w:jc w:val="center"/>
        </w:trPr>
        <w:tc>
          <w:tcPr>
            <w:tcW w:w="38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rPr>
                <w:lang w:eastAsia="en-US"/>
              </w:rPr>
            </w:pPr>
            <w:r w:rsidRPr="00391C26">
              <w:rPr>
                <w:sz w:val="22"/>
                <w:szCs w:val="22"/>
                <w:lang w:eastAsia="en-US"/>
              </w:rPr>
              <w:t>Удельный вес проб воды, не соответствующей требованиям гигиенических нормативов по паразитологическим показателям, %</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0</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val="en-US" w:eastAsia="en-US"/>
              </w:rPr>
            </w:pPr>
            <w:r w:rsidRPr="00391C26">
              <w:rPr>
                <w:sz w:val="22"/>
                <w:szCs w:val="22"/>
                <w:lang w:val="en-US" w:eastAsia="en-US"/>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eastAsia="en-US"/>
              </w:rPr>
            </w:pPr>
            <w:r w:rsidRPr="00391C26">
              <w:rPr>
                <w:sz w:val="22"/>
                <w:szCs w:val="22"/>
                <w:lang w:eastAsia="en-US"/>
              </w:rPr>
              <w:t>0</w:t>
            </w:r>
          </w:p>
        </w:tc>
        <w:tc>
          <w:tcPr>
            <w:tcW w:w="99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206C4D">
            <w:pPr>
              <w:jc w:val="center"/>
              <w:rPr>
                <w:lang w:val="en-US" w:eastAsia="en-US"/>
              </w:rPr>
            </w:pPr>
            <w:r w:rsidRPr="00391C26">
              <w:rPr>
                <w:sz w:val="22"/>
                <w:szCs w:val="22"/>
                <w:lang w:val="en-US" w:eastAsia="en-US"/>
              </w:rPr>
              <w:t>*</w:t>
            </w:r>
          </w:p>
        </w:tc>
      </w:tr>
    </w:tbl>
    <w:p w:rsidR="00206C4D" w:rsidRPr="00206C4D" w:rsidRDefault="00206C4D" w:rsidP="00206C4D">
      <w:pPr>
        <w:ind w:firstLine="708"/>
        <w:rPr>
          <w:sz w:val="16"/>
          <w:szCs w:val="16"/>
        </w:rPr>
      </w:pPr>
    </w:p>
    <w:p w:rsidR="005D2F29" w:rsidRPr="00391C26" w:rsidRDefault="00206C4D" w:rsidP="00206C4D">
      <w:pPr>
        <w:ind w:firstLine="708"/>
        <w:jc w:val="both"/>
      </w:pPr>
      <w:r>
        <w:t xml:space="preserve">Отсутствие проб, </w:t>
      </w:r>
      <w:r w:rsidR="005D2F29" w:rsidRPr="00391C26">
        <w:t>не отвечающих требованиям гигиенических нормативов по микробиологическим показателям, отмечается в источниках хозяйственно-питьевого водоснабжения Ардатовского, Арзамасского, Богородского, Большеболдинского, Вадского, Варнавинского, Ветлужского, Вознесенского, Дивеевского, Ковернинского, Павловского, Сосновского, Спасского, Тонкинского, Тоншаевского, Шахунского, Сокольского районов.</w:t>
      </w:r>
    </w:p>
    <w:p w:rsidR="005D2F29" w:rsidRPr="00391C26" w:rsidRDefault="005D2F29" w:rsidP="00206C4D">
      <w:pPr>
        <w:ind w:firstLine="708"/>
        <w:jc w:val="both"/>
      </w:pPr>
      <w:r w:rsidRPr="00391C26">
        <w:t>Превышение среднеобластного показателя удельного веса проб, не соответствующих гигиеническим нормативам по м</w:t>
      </w:r>
      <w:r w:rsidR="00BE5BF2">
        <w:t xml:space="preserve">икробиологическим показателям, </w:t>
      </w:r>
      <w:r w:rsidRPr="00391C26">
        <w:t>в 1,1- 8,1 раза отмечается  в Большемурашкинском, Бутурлинском, Воскресенском, Дальнеконстантиновском, Володарском, Кстовском, Лукояновском, Перевозском, починковском, Сеченовском районах и г.Дзержинске.</w:t>
      </w:r>
    </w:p>
    <w:p w:rsidR="005D2F29" w:rsidRPr="00391C26" w:rsidRDefault="005D2F29" w:rsidP="00206C4D">
      <w:pPr>
        <w:ind w:firstLine="708"/>
        <w:jc w:val="both"/>
      </w:pPr>
      <w:r w:rsidRPr="00391C26">
        <w:t>Снижение удельного веса проб воды водоисточников, не соответствующих гигиеническим нормативам по санитарно-химическим показателям в 2019 году, отмечается в Аратовском, Балахнинском, Борском, Воротынском, Воскресенском, городецком, Княгинском, Ковернинском, Краснобаковском, Тоншаевском районах.</w:t>
      </w:r>
    </w:p>
    <w:p w:rsidR="005D2F29" w:rsidRPr="00391C26" w:rsidRDefault="005D2F29" w:rsidP="00206C4D">
      <w:pPr>
        <w:ind w:firstLine="708"/>
        <w:jc w:val="both"/>
      </w:pPr>
      <w:r w:rsidRPr="00391C26">
        <w:t>Превышение среднеобластного показателя удельного веса проб, не соответствующих гигиеническим нормативам по санитарно-химическим  показателям,  в 1,1- 4 раза отмечается  в Арзамасском, Богородском, Большемурашкинском, Вадском, Вачском, Вознесенском, Гагинском, Дальнеконстантиновском, Володарском, Дивеевском, Краснооктябрьском, Кстов</w:t>
      </w:r>
      <w:r w:rsidR="00BE5BF2">
        <w:t xml:space="preserve">ском, Лысковском, Навашинском, </w:t>
      </w:r>
      <w:r w:rsidRPr="00391C26">
        <w:t>Первомайском, Перевозском, Пильнинском, Сергачском, Сеченовском, Сосновском, Шатковском, Ша</w:t>
      </w:r>
      <w:r w:rsidR="00BE5BF2">
        <w:t>хунском районах и г.Дзержинске.</w:t>
      </w:r>
    </w:p>
    <w:p w:rsidR="005D2F29" w:rsidRPr="00391C26" w:rsidRDefault="005D2F29" w:rsidP="00BE5BF2">
      <w:pPr>
        <w:ind w:firstLine="708"/>
        <w:jc w:val="both"/>
      </w:pPr>
      <w:r w:rsidRPr="00391C26">
        <w:lastRenderedPageBreak/>
        <w:t>Имеющее место несоответствие проб воды требованиям гигиенических нормативов связано, в том числе</w:t>
      </w:r>
      <w:r w:rsidR="00514D3F">
        <w:t xml:space="preserve">, с деградацией водоисточников </w:t>
      </w:r>
      <w:r w:rsidRPr="00391C26">
        <w:t>под влиянием интенсивного антропотехногенного возде</w:t>
      </w:r>
      <w:r w:rsidR="00BE5BF2">
        <w:t>йствия.</w:t>
      </w:r>
    </w:p>
    <w:p w:rsidR="005D2F29" w:rsidRPr="00391C26" w:rsidRDefault="005D2F29" w:rsidP="00BE5BF2">
      <w:pPr>
        <w:ind w:firstLine="708"/>
        <w:jc w:val="both"/>
      </w:pPr>
      <w:r w:rsidRPr="00391C26">
        <w:t xml:space="preserve">Наиболее выражено это воздействие на поверхностные водоисточники, основными загрязнителями которых являются предприятия жилищно-коммунального хозяйства, энергетики, машиностроения. </w:t>
      </w:r>
      <w:r w:rsidRPr="00391C26">
        <w:rPr>
          <w:bCs/>
        </w:rPr>
        <w:t>По характеру и интенсивности использования водных ресурсов территория Нижегородск</w:t>
      </w:r>
      <w:r w:rsidR="00BE5BF2">
        <w:rPr>
          <w:bCs/>
        </w:rPr>
        <w:t xml:space="preserve">ой области крайне неоднородна. </w:t>
      </w:r>
      <w:r w:rsidRPr="00391C26">
        <w:rPr>
          <w:bCs/>
        </w:rPr>
        <w:t>Система расселения и территориальная организация производства  обу</w:t>
      </w:r>
      <w:r w:rsidR="00BE5BF2">
        <w:rPr>
          <w:bCs/>
        </w:rPr>
        <w:t xml:space="preserve">славливает наиболее выраженное </w:t>
      </w:r>
      <w:r w:rsidR="00BE5BF2">
        <w:t xml:space="preserve">загрязнение </w:t>
      </w:r>
      <w:r w:rsidRPr="00391C26">
        <w:t xml:space="preserve">акватории р.Ока в районе г.Н.Новгорода и Дзержинска. Река Волга, как и в прошлые годы, испытывает </w:t>
      </w:r>
      <w:r w:rsidR="00BE5BF2">
        <w:t>значительную</w:t>
      </w:r>
      <w:r w:rsidRPr="00391C26">
        <w:t xml:space="preserve"> антропогенную нагрузку на участке ниже станции аэрации очистных сооружений г.Н.Новгорода.</w:t>
      </w:r>
    </w:p>
    <w:p w:rsidR="005D2F29" w:rsidRPr="00391C26" w:rsidRDefault="005D2F29" w:rsidP="00BE5BF2">
      <w:pPr>
        <w:ind w:firstLine="708"/>
        <w:jc w:val="both"/>
      </w:pPr>
      <w:r w:rsidRPr="00391C26">
        <w:t>Актуальным для области является природно обусловенное высокое содержание железа и общая жесткость в воде подземных источников.</w:t>
      </w:r>
    </w:p>
    <w:p w:rsidR="005D2F29" w:rsidRPr="00391C26" w:rsidRDefault="005D2F29" w:rsidP="00514D3F">
      <w:pPr>
        <w:ind w:firstLine="708"/>
        <w:jc w:val="both"/>
      </w:pPr>
      <w:r w:rsidRPr="00391C26">
        <w:t>Влияние на качество воды, особенно на бактериальное и вирусное з</w:t>
      </w:r>
      <w:r w:rsidR="00514D3F">
        <w:t xml:space="preserve">агрязнение водоемов, оказывают </w:t>
      </w:r>
      <w:r w:rsidRPr="00391C26">
        <w:t xml:space="preserve">канализационные очистные сооружения (КОС) и степень очистки  сточных вод, сбрасываемых в водоемы. 30% КОС Нижегородской области, принимающих хозяйственно-бытовые стоки,  разрушены или </w:t>
      </w:r>
      <w:r w:rsidR="00514D3F">
        <w:t xml:space="preserve">требуют реконструкции. </w:t>
      </w:r>
      <w:r w:rsidRPr="00391C26">
        <w:t>В Балахнинском, Чкаловском,  Володарском районах, сточные воды не проходят соответствующую  очистку. Разрушены и требуют реконструкции очистные сооружения  в Ардатовском, Вадском, Большеболдинском районах. На 35 % КОС не  проводится дезинвазия, на 13%  - дезинфекция. Остается нерешенной проблемой очистка ливневых стоков с территорий населенных пунктов Нижегородской области.</w:t>
      </w:r>
    </w:p>
    <w:p w:rsidR="005D2F29" w:rsidRPr="00391C26" w:rsidRDefault="005D2F29" w:rsidP="00514D3F">
      <w:pPr>
        <w:ind w:firstLine="708"/>
        <w:jc w:val="both"/>
      </w:pPr>
      <w:r w:rsidRPr="00391C26">
        <w:t>Кроме того, имел место ввод в эксплуатацию вновь выстроенных коттеджных поселков (ЖК «Стрижи» и «Акварель») без подключения к централизованным сетям канализации. Итогом работы Управления, в том числе принятие мер административного воздействия, направле</w:t>
      </w:r>
      <w:r w:rsidR="00514D3F">
        <w:t xml:space="preserve">ние искового заявления в суд, явилась </w:t>
      </w:r>
      <w:r w:rsidRPr="00391C26">
        <w:t xml:space="preserve">организация сброса сточных вод от ЖК через локальные очистные сооружения. </w:t>
      </w:r>
    </w:p>
    <w:p w:rsidR="005D2F29" w:rsidRPr="00391C26" w:rsidRDefault="005D2F29" w:rsidP="00514D3F">
      <w:pPr>
        <w:ind w:firstLine="708"/>
        <w:jc w:val="both"/>
      </w:pPr>
      <w:r w:rsidRPr="00391C26">
        <w:t xml:space="preserve">В Нижегородской области очистка сточных </w:t>
      </w:r>
      <w:r w:rsidR="00514D3F">
        <w:t xml:space="preserve">вод осуществляется на 173 КОС. </w:t>
      </w:r>
      <w:r w:rsidRPr="00391C26">
        <w:t>В 3 районах области отсутствуют канализационные очистные сооружения и разводящие канализационные сети (Бутурлинский, Гагинский, Краснооктябрьский). Таким образом, очистка сточных вод от жилых и общественных зданий не проводится, что, в свою очередь, в течение ряда лет приводит к интенсивному загрязнению почвы и подземных водоносных горизонтов.</w:t>
      </w:r>
    </w:p>
    <w:p w:rsidR="005D2F29" w:rsidRPr="00391C26" w:rsidRDefault="005D2F29" w:rsidP="00514D3F">
      <w:pPr>
        <w:ind w:firstLine="708"/>
        <w:jc w:val="both"/>
      </w:pPr>
      <w:r w:rsidRPr="00391C26">
        <w:t xml:space="preserve">В 2019 году продолжена активная совместная работа с министерством энергетики и жилищно-коммунального хозяйства Нижегородской области по реализации подпрограммы «Оздоровление Волги» Государственной программы «Обеспечение населения Нижегородской области качественными услугами в сфере жилищно-коммунального хозяйства», утвержденной постановлением Правительства Нижегородской </w:t>
      </w:r>
      <w:r w:rsidR="00514D3F">
        <w:t xml:space="preserve">области от 30.04.2014 г. № 305 </w:t>
      </w:r>
      <w:r w:rsidRPr="00391C26">
        <w:t>(в рамках национального проекта «Экология»). В 2019 году начата реализация 17 мероприятий по реконстукции и строительству канализационных очистных сооружений в рамках подпрограммы «Оздоровление Волги».</w:t>
      </w:r>
    </w:p>
    <w:p w:rsidR="005D2F29" w:rsidRPr="00391C26" w:rsidRDefault="005D2F29" w:rsidP="00514D3F">
      <w:pPr>
        <w:ind w:firstLine="708"/>
        <w:jc w:val="both"/>
      </w:pPr>
      <w:r w:rsidRPr="00391C26">
        <w:t>По выявленным нарушениям требований санитарного законодательства на объектах удаления сточных вод  составлено 46 протоколов об административных правонарушениях; вынесено постановлений о наложении штрафов на сумму 355 тыс. рублей, направлено 8 исков в суд об обязании выполнения требований санитарного законодательства.</w:t>
      </w:r>
    </w:p>
    <w:p w:rsidR="005D2F29" w:rsidRPr="00391C26" w:rsidRDefault="005D2F29" w:rsidP="00514D3F">
      <w:pPr>
        <w:ind w:firstLine="708"/>
        <w:jc w:val="both"/>
      </w:pPr>
      <w:r w:rsidRPr="00391C26">
        <w:t>В 2019 году продолжена работа по реализации Приказа Роспотребнадзора № 708 от 01.09.2017 г. «О реализации поручения Правительства Российской Федерации от 08.08.2017 г. № ДМ-П9-54п». Всего за период р</w:t>
      </w:r>
      <w:r w:rsidR="00514D3F">
        <w:t>еализации обозначенного приказа</w:t>
      </w:r>
      <w:r w:rsidRPr="00391C26">
        <w:t xml:space="preserve"> проведены мероприятия по контролю в отношении 140 субъектов, осуществляющих сброс сточных вод в реку Волга. За выявленные нарушения наложено 70 штрафов на сумму 470 тыс. рублей, 16  материалов по ст.19.5.ч.1 передан</w:t>
      </w:r>
      <w:r w:rsidR="00514D3F">
        <w:t>ы в мировой суд.</w:t>
      </w:r>
    </w:p>
    <w:p w:rsidR="005D2F29" w:rsidRPr="00391C26" w:rsidRDefault="005D2F29" w:rsidP="00666569">
      <w:pPr>
        <w:ind w:firstLine="709"/>
        <w:jc w:val="both"/>
      </w:pPr>
      <w:r w:rsidRPr="00391C26">
        <w:lastRenderedPageBreak/>
        <w:t>В целом, в Нижегородской области имеется положительная тенденция сокращения количества источников централизованного водоснабжения, не отвечающих требованиям санитарных правил,  с 17,1% в 2010 году до 13,3% в 2019 году. Удельный вес источников централизованного водосн</w:t>
      </w:r>
      <w:r w:rsidR="00666569">
        <w:t>абжения с неорганизованными ЗСО</w:t>
      </w:r>
      <w:r w:rsidRPr="00391C26">
        <w:t xml:space="preserve"> в 2019 году составил 8,9% (2018 год - 9,6%, 2017 год – 10,2%, 2016 год -  11,4%, 2015 год - 11,1%, 2014 год – 11,7%, 2013 год – 10,9%, 2012год - 11,1% , 2011  год – 11,6%, 2010 год – 14,0) (Табл. №3).</w:t>
      </w:r>
    </w:p>
    <w:p w:rsidR="005D2F29" w:rsidRPr="00391C26" w:rsidRDefault="005D2F29" w:rsidP="00666569">
      <w:pPr>
        <w:ind w:firstLine="709"/>
        <w:jc w:val="right"/>
        <w:rPr>
          <w:sz w:val="22"/>
          <w:szCs w:val="22"/>
        </w:rPr>
      </w:pPr>
      <w:r w:rsidRPr="00391C26">
        <w:rPr>
          <w:sz w:val="22"/>
          <w:szCs w:val="22"/>
        </w:rPr>
        <w:t>Таблица № 3</w:t>
      </w:r>
    </w:p>
    <w:p w:rsidR="005D2F29" w:rsidRPr="00666569" w:rsidRDefault="005D2F29" w:rsidP="00666569">
      <w:pPr>
        <w:ind w:left="-180" w:firstLine="709"/>
        <w:jc w:val="right"/>
        <w:rPr>
          <w:sz w:val="16"/>
          <w:szCs w:val="16"/>
        </w:rPr>
      </w:pPr>
    </w:p>
    <w:p w:rsidR="005D2F29" w:rsidRPr="00391C26" w:rsidRDefault="005D2F29" w:rsidP="00666569">
      <w:pPr>
        <w:jc w:val="center"/>
        <w:rPr>
          <w:b/>
          <w:sz w:val="22"/>
          <w:szCs w:val="22"/>
        </w:rPr>
      </w:pPr>
      <w:r w:rsidRPr="00391C26">
        <w:rPr>
          <w:b/>
          <w:sz w:val="22"/>
          <w:szCs w:val="22"/>
        </w:rPr>
        <w:t>Гигиеническая характеристика источников водоснабжения Нижегородской области</w:t>
      </w:r>
    </w:p>
    <w:p w:rsidR="005D2F29" w:rsidRPr="00666569" w:rsidRDefault="005D2F29" w:rsidP="00666569">
      <w:pPr>
        <w:rPr>
          <w:sz w:val="16"/>
          <w:szCs w:val="16"/>
        </w:rPr>
      </w:pPr>
    </w:p>
    <w:tbl>
      <w:tblPr>
        <w:tblW w:w="8941" w:type="dxa"/>
        <w:jc w:val="center"/>
        <w:tblInd w:w="-128" w:type="dxa"/>
        <w:tblLook w:val="01E0"/>
      </w:tblPr>
      <w:tblGrid>
        <w:gridCol w:w="5196"/>
        <w:gridCol w:w="723"/>
        <w:gridCol w:w="757"/>
        <w:gridCol w:w="757"/>
        <w:gridCol w:w="1508"/>
      </w:tblGrid>
      <w:tr w:rsidR="005D2F29" w:rsidRPr="00391C26" w:rsidTr="005D2F29">
        <w:trPr>
          <w:trHeight w:val="604"/>
          <w:tblHeader/>
          <w:jc w:val="center"/>
        </w:trPr>
        <w:tc>
          <w:tcPr>
            <w:tcW w:w="5196" w:type="dxa"/>
            <w:tcBorders>
              <w:top w:val="single" w:sz="4" w:space="0" w:color="auto"/>
              <w:left w:val="single" w:sz="4" w:space="0" w:color="auto"/>
              <w:bottom w:val="single" w:sz="4" w:space="0" w:color="auto"/>
              <w:right w:val="single" w:sz="4" w:space="0" w:color="auto"/>
            </w:tcBorders>
          </w:tcPr>
          <w:p w:rsidR="005D2F29" w:rsidRPr="00391C26" w:rsidRDefault="005D2F29" w:rsidP="00666569">
            <w:pPr>
              <w:jc w:val="center"/>
              <w:rPr>
                <w:lang w:eastAsia="en-US"/>
              </w:rPr>
            </w:pPr>
            <w:r w:rsidRPr="00391C26">
              <w:rPr>
                <w:sz w:val="22"/>
                <w:szCs w:val="22"/>
                <w:lang w:eastAsia="en-US"/>
              </w:rPr>
              <w:t>Показатель</w:t>
            </w:r>
          </w:p>
        </w:tc>
        <w:tc>
          <w:tcPr>
            <w:tcW w:w="0" w:type="auto"/>
            <w:tcBorders>
              <w:top w:val="single" w:sz="4" w:space="0" w:color="auto"/>
              <w:left w:val="single" w:sz="4" w:space="0" w:color="auto"/>
              <w:bottom w:val="single" w:sz="4" w:space="0" w:color="auto"/>
              <w:right w:val="single" w:sz="4" w:space="0" w:color="auto"/>
            </w:tcBorders>
          </w:tcPr>
          <w:p w:rsidR="005D2F29" w:rsidRPr="00391C26" w:rsidRDefault="005D2F29" w:rsidP="00666569">
            <w:pPr>
              <w:jc w:val="center"/>
              <w:rPr>
                <w:lang w:eastAsia="en-US"/>
              </w:rPr>
            </w:pPr>
            <w:r w:rsidRPr="00391C26">
              <w:rPr>
                <w:sz w:val="22"/>
                <w:szCs w:val="22"/>
                <w:lang w:eastAsia="en-US"/>
              </w:rPr>
              <w:t>2017 год</w:t>
            </w:r>
          </w:p>
        </w:tc>
        <w:tc>
          <w:tcPr>
            <w:tcW w:w="0" w:type="auto"/>
            <w:tcBorders>
              <w:top w:val="single" w:sz="4" w:space="0" w:color="auto"/>
              <w:left w:val="single" w:sz="4" w:space="0" w:color="auto"/>
              <w:bottom w:val="single" w:sz="4" w:space="0" w:color="auto"/>
              <w:right w:val="single" w:sz="4" w:space="0" w:color="auto"/>
            </w:tcBorders>
          </w:tcPr>
          <w:p w:rsidR="005D2F29" w:rsidRPr="00391C26" w:rsidRDefault="005D2F29" w:rsidP="00666569">
            <w:pPr>
              <w:ind w:right="34"/>
              <w:jc w:val="center"/>
              <w:rPr>
                <w:lang w:eastAsia="en-US"/>
              </w:rPr>
            </w:pPr>
            <w:r w:rsidRPr="00391C26">
              <w:rPr>
                <w:sz w:val="22"/>
                <w:szCs w:val="22"/>
                <w:lang w:eastAsia="en-US"/>
              </w:rPr>
              <w:t>2018 год</w:t>
            </w:r>
          </w:p>
        </w:tc>
        <w:tc>
          <w:tcPr>
            <w:tcW w:w="0" w:type="auto"/>
            <w:tcBorders>
              <w:top w:val="single" w:sz="4" w:space="0" w:color="auto"/>
              <w:left w:val="single" w:sz="4" w:space="0" w:color="auto"/>
              <w:bottom w:val="single" w:sz="4" w:space="0" w:color="auto"/>
              <w:right w:val="single" w:sz="4" w:space="0" w:color="auto"/>
            </w:tcBorders>
          </w:tcPr>
          <w:p w:rsidR="005D2F29" w:rsidRPr="00391C26" w:rsidRDefault="005D2F29" w:rsidP="00666569">
            <w:pPr>
              <w:ind w:right="34"/>
              <w:jc w:val="center"/>
              <w:rPr>
                <w:lang w:eastAsia="en-US"/>
              </w:rPr>
            </w:pPr>
            <w:r w:rsidRPr="00391C26">
              <w:rPr>
                <w:sz w:val="22"/>
                <w:szCs w:val="22"/>
                <w:lang w:eastAsia="en-US"/>
              </w:rPr>
              <w:t>2019 год</w:t>
            </w:r>
          </w:p>
        </w:tc>
        <w:tc>
          <w:tcPr>
            <w:tcW w:w="0" w:type="auto"/>
            <w:tcBorders>
              <w:top w:val="single" w:sz="4" w:space="0" w:color="auto"/>
              <w:left w:val="single" w:sz="4" w:space="0" w:color="auto"/>
              <w:bottom w:val="single" w:sz="4" w:space="0" w:color="auto"/>
              <w:right w:val="single" w:sz="4" w:space="0" w:color="auto"/>
            </w:tcBorders>
          </w:tcPr>
          <w:p w:rsidR="005D2F29" w:rsidRPr="00391C26" w:rsidRDefault="005D2F29" w:rsidP="00666569">
            <w:pPr>
              <w:ind w:left="31" w:right="34"/>
              <w:jc w:val="center"/>
              <w:rPr>
                <w:lang w:eastAsia="en-US"/>
              </w:rPr>
            </w:pPr>
            <w:r w:rsidRPr="00391C26">
              <w:rPr>
                <w:sz w:val="22"/>
                <w:szCs w:val="22"/>
                <w:lang w:eastAsia="en-US"/>
              </w:rPr>
              <w:t>Темп прироста к  2017 году, %</w:t>
            </w:r>
          </w:p>
        </w:tc>
      </w:tr>
      <w:tr w:rsidR="005D2F29" w:rsidRPr="00391C26" w:rsidTr="005D2F29">
        <w:trPr>
          <w:trHeight w:val="1084"/>
          <w:tblHeader/>
          <w:jc w:val="center"/>
        </w:trPr>
        <w:tc>
          <w:tcPr>
            <w:tcW w:w="5196" w:type="dxa"/>
            <w:tcBorders>
              <w:top w:val="single" w:sz="4" w:space="0" w:color="auto"/>
              <w:left w:val="single" w:sz="4" w:space="0" w:color="auto"/>
              <w:bottom w:val="single" w:sz="4" w:space="0" w:color="auto"/>
              <w:right w:val="single" w:sz="4" w:space="0" w:color="auto"/>
            </w:tcBorders>
          </w:tcPr>
          <w:p w:rsidR="005D2F29" w:rsidRPr="00391C26" w:rsidRDefault="005D2F29" w:rsidP="00666569">
            <w:pPr>
              <w:rPr>
                <w:lang w:eastAsia="en-US"/>
              </w:rPr>
            </w:pPr>
            <w:r w:rsidRPr="00391C26">
              <w:rPr>
                <w:sz w:val="22"/>
                <w:szCs w:val="22"/>
                <w:lang w:eastAsia="en-US"/>
              </w:rPr>
              <w:t>1. Удельный вес источников централизованного водоснабжения, не отвечающих санитарно-эпидемиологическим требованиям, %</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jc w:val="center"/>
              <w:rPr>
                <w:lang w:eastAsia="en-US"/>
              </w:rPr>
            </w:pPr>
            <w:r w:rsidRPr="00391C26">
              <w:rPr>
                <w:sz w:val="22"/>
                <w:szCs w:val="22"/>
                <w:lang w:eastAsia="en-US"/>
              </w:rPr>
              <w:t>13,4</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right="34"/>
              <w:jc w:val="center"/>
              <w:rPr>
                <w:lang w:eastAsia="en-US"/>
              </w:rPr>
            </w:pPr>
            <w:r w:rsidRPr="00391C26">
              <w:rPr>
                <w:sz w:val="22"/>
                <w:szCs w:val="22"/>
                <w:lang w:eastAsia="en-US"/>
              </w:rPr>
              <w:t>14,2</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right="34"/>
              <w:jc w:val="center"/>
              <w:rPr>
                <w:lang w:eastAsia="en-US"/>
              </w:rPr>
            </w:pPr>
            <w:r w:rsidRPr="00391C26">
              <w:rPr>
                <w:sz w:val="22"/>
                <w:szCs w:val="22"/>
                <w:lang w:eastAsia="en-US"/>
              </w:rPr>
              <w:t>13,3</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left="227" w:right="34"/>
              <w:jc w:val="center"/>
              <w:rPr>
                <w:lang w:eastAsia="en-US"/>
              </w:rPr>
            </w:pPr>
            <w:r w:rsidRPr="00391C26">
              <w:rPr>
                <w:sz w:val="22"/>
                <w:szCs w:val="22"/>
                <w:lang w:eastAsia="en-US"/>
              </w:rPr>
              <w:t>- 10,7</w:t>
            </w:r>
          </w:p>
        </w:tc>
      </w:tr>
      <w:tr w:rsidR="005D2F29" w:rsidRPr="00391C26" w:rsidTr="005D2F29">
        <w:trPr>
          <w:trHeight w:val="1131"/>
          <w:tblHeader/>
          <w:jc w:val="center"/>
        </w:trPr>
        <w:tc>
          <w:tcPr>
            <w:tcW w:w="5196" w:type="dxa"/>
            <w:tcBorders>
              <w:top w:val="single" w:sz="4" w:space="0" w:color="auto"/>
              <w:left w:val="single" w:sz="4" w:space="0" w:color="auto"/>
              <w:bottom w:val="single" w:sz="4" w:space="0" w:color="auto"/>
              <w:right w:val="single" w:sz="4" w:space="0" w:color="auto"/>
            </w:tcBorders>
          </w:tcPr>
          <w:p w:rsidR="005D2F29" w:rsidRPr="00391C26" w:rsidRDefault="005D2F29" w:rsidP="00666569">
            <w:pPr>
              <w:rPr>
                <w:lang w:eastAsia="en-US"/>
              </w:rPr>
            </w:pPr>
            <w:r w:rsidRPr="00391C26">
              <w:rPr>
                <w:sz w:val="22"/>
                <w:szCs w:val="22"/>
                <w:lang w:eastAsia="en-US"/>
              </w:rPr>
              <w:t>2. Удельный вес поверхностных источников централизованного водоснабжения, не отвечающих санитарно-эпидемиологическим требованиям, %</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jc w:val="center"/>
              <w:rPr>
                <w:lang w:eastAsia="en-US"/>
              </w:rPr>
            </w:pPr>
            <w:r w:rsidRPr="00391C26">
              <w:rPr>
                <w:sz w:val="22"/>
                <w:szCs w:val="22"/>
                <w:lang w:eastAsia="en-US"/>
              </w:rPr>
              <w:t>26,3</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left="32" w:right="34"/>
              <w:jc w:val="center"/>
              <w:rPr>
                <w:lang w:eastAsia="en-US"/>
              </w:rPr>
            </w:pPr>
            <w:r w:rsidRPr="00391C26">
              <w:rPr>
                <w:sz w:val="22"/>
                <w:szCs w:val="22"/>
                <w:lang w:eastAsia="en-US"/>
              </w:rPr>
              <w:t>26,3</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left="32" w:right="34"/>
              <w:jc w:val="center"/>
              <w:rPr>
                <w:lang w:eastAsia="en-US"/>
              </w:rPr>
            </w:pPr>
            <w:r w:rsidRPr="00391C26">
              <w:rPr>
                <w:sz w:val="22"/>
                <w:szCs w:val="22"/>
                <w:lang w:eastAsia="en-US"/>
              </w:rPr>
              <w:t>15,0</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right="34"/>
              <w:jc w:val="center"/>
              <w:rPr>
                <w:lang w:eastAsia="en-US"/>
              </w:rPr>
            </w:pPr>
            <w:r w:rsidRPr="00391C26">
              <w:rPr>
                <w:sz w:val="22"/>
                <w:szCs w:val="22"/>
                <w:lang w:eastAsia="en-US"/>
              </w:rPr>
              <w:t>-42,9</w:t>
            </w:r>
          </w:p>
        </w:tc>
      </w:tr>
      <w:tr w:rsidR="005D2F29" w:rsidRPr="00391C26" w:rsidTr="005D2F29">
        <w:trPr>
          <w:trHeight w:val="836"/>
          <w:tblHeader/>
          <w:jc w:val="center"/>
        </w:trPr>
        <w:tc>
          <w:tcPr>
            <w:tcW w:w="5196" w:type="dxa"/>
            <w:tcBorders>
              <w:top w:val="single" w:sz="4" w:space="0" w:color="auto"/>
              <w:left w:val="single" w:sz="4" w:space="0" w:color="auto"/>
              <w:bottom w:val="single" w:sz="4" w:space="0" w:color="auto"/>
              <w:right w:val="single" w:sz="4" w:space="0" w:color="auto"/>
            </w:tcBorders>
          </w:tcPr>
          <w:p w:rsidR="005D2F29" w:rsidRPr="00391C26" w:rsidRDefault="005D2F29" w:rsidP="00666569">
            <w:pPr>
              <w:rPr>
                <w:lang w:eastAsia="en-US"/>
              </w:rPr>
            </w:pPr>
            <w:r w:rsidRPr="00391C26">
              <w:rPr>
                <w:sz w:val="22"/>
                <w:szCs w:val="22"/>
                <w:lang w:eastAsia="en-US"/>
              </w:rPr>
              <w:t>3. Удельный вес подземных источников централизованного водоснабжения, не отвечающих санитарно-эпидемиологическим требованиям, %</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jc w:val="center"/>
              <w:rPr>
                <w:lang w:eastAsia="en-US"/>
              </w:rPr>
            </w:pPr>
            <w:r w:rsidRPr="00391C26">
              <w:rPr>
                <w:sz w:val="22"/>
                <w:szCs w:val="22"/>
                <w:lang w:eastAsia="en-US"/>
              </w:rPr>
              <w:t>10,1</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jc w:val="center"/>
              <w:rPr>
                <w:lang w:eastAsia="en-US"/>
              </w:rPr>
            </w:pPr>
            <w:r w:rsidRPr="00391C26">
              <w:rPr>
                <w:sz w:val="22"/>
                <w:szCs w:val="22"/>
                <w:lang w:eastAsia="en-US"/>
              </w:rPr>
              <w:t>14,1</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jc w:val="center"/>
              <w:rPr>
                <w:lang w:eastAsia="en-US"/>
              </w:rPr>
            </w:pPr>
            <w:r w:rsidRPr="00391C26">
              <w:rPr>
                <w:sz w:val="22"/>
                <w:szCs w:val="22"/>
                <w:lang w:eastAsia="en-US"/>
              </w:rPr>
              <w:t>13,3</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right="34"/>
              <w:jc w:val="center"/>
              <w:rPr>
                <w:lang w:eastAsia="en-US"/>
              </w:rPr>
            </w:pPr>
            <w:r w:rsidRPr="00391C26">
              <w:rPr>
                <w:sz w:val="22"/>
                <w:szCs w:val="22"/>
                <w:lang w:eastAsia="en-US"/>
              </w:rPr>
              <w:t>31,6</w:t>
            </w:r>
          </w:p>
        </w:tc>
      </w:tr>
      <w:tr w:rsidR="005D2F29" w:rsidRPr="00391C26" w:rsidTr="005D2F29">
        <w:trPr>
          <w:trHeight w:val="849"/>
          <w:tblHeader/>
          <w:jc w:val="center"/>
        </w:trPr>
        <w:tc>
          <w:tcPr>
            <w:tcW w:w="5196" w:type="dxa"/>
            <w:tcBorders>
              <w:top w:val="single" w:sz="4" w:space="0" w:color="auto"/>
              <w:left w:val="single" w:sz="4" w:space="0" w:color="auto"/>
              <w:bottom w:val="single" w:sz="4" w:space="0" w:color="auto"/>
              <w:right w:val="single" w:sz="4" w:space="0" w:color="auto"/>
            </w:tcBorders>
          </w:tcPr>
          <w:p w:rsidR="005D2F29" w:rsidRPr="00391C26" w:rsidRDefault="005D2F29" w:rsidP="00666569">
            <w:pPr>
              <w:rPr>
                <w:lang w:eastAsia="en-US"/>
              </w:rPr>
            </w:pPr>
            <w:r w:rsidRPr="00391C26">
              <w:rPr>
                <w:sz w:val="22"/>
                <w:szCs w:val="22"/>
                <w:lang w:eastAsia="en-US"/>
              </w:rPr>
              <w:t>4. Удельный вес подземных источников централизованного водоснабжения, не отвечающих санитарно-эпидемиологическим требованиям из-за отсутствия зон санитарной охраны, %</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jc w:val="center"/>
              <w:rPr>
                <w:lang w:eastAsia="en-US"/>
              </w:rPr>
            </w:pPr>
            <w:r w:rsidRPr="00391C26">
              <w:rPr>
                <w:sz w:val="22"/>
                <w:szCs w:val="22"/>
                <w:lang w:eastAsia="en-US"/>
              </w:rPr>
              <w:t>80,0</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left="32" w:right="34"/>
              <w:jc w:val="center"/>
              <w:rPr>
                <w:lang w:eastAsia="en-US"/>
              </w:rPr>
            </w:pPr>
            <w:r w:rsidRPr="00391C26">
              <w:rPr>
                <w:sz w:val="22"/>
                <w:szCs w:val="22"/>
                <w:lang w:eastAsia="en-US"/>
              </w:rPr>
              <w:t>67,9</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left="32" w:right="34"/>
              <w:jc w:val="center"/>
              <w:rPr>
                <w:lang w:eastAsia="en-US"/>
              </w:rPr>
            </w:pPr>
            <w:r w:rsidRPr="00391C26">
              <w:rPr>
                <w:sz w:val="22"/>
                <w:szCs w:val="22"/>
                <w:lang w:eastAsia="en-US"/>
              </w:rPr>
              <w:t>67,1</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left="678" w:right="34" w:hanging="363"/>
              <w:jc w:val="center"/>
              <w:rPr>
                <w:lang w:eastAsia="en-US"/>
              </w:rPr>
            </w:pPr>
            <w:r w:rsidRPr="00391C26">
              <w:rPr>
                <w:sz w:val="22"/>
                <w:szCs w:val="22"/>
                <w:lang w:eastAsia="en-US"/>
              </w:rPr>
              <w:t>-16,1</w:t>
            </w:r>
          </w:p>
        </w:tc>
      </w:tr>
      <w:tr w:rsidR="005D2F29" w:rsidRPr="00391C26" w:rsidTr="005D2F29">
        <w:trPr>
          <w:tblHeader/>
          <w:jc w:val="center"/>
        </w:trPr>
        <w:tc>
          <w:tcPr>
            <w:tcW w:w="5196" w:type="dxa"/>
            <w:tcBorders>
              <w:top w:val="single" w:sz="4" w:space="0" w:color="auto"/>
              <w:left w:val="single" w:sz="4" w:space="0" w:color="auto"/>
              <w:bottom w:val="single" w:sz="4" w:space="0" w:color="auto"/>
              <w:right w:val="single" w:sz="4" w:space="0" w:color="auto"/>
            </w:tcBorders>
          </w:tcPr>
          <w:p w:rsidR="005D2F29" w:rsidRPr="00391C26" w:rsidRDefault="005D2F29" w:rsidP="00666569">
            <w:pPr>
              <w:rPr>
                <w:lang w:eastAsia="en-US"/>
              </w:rPr>
            </w:pPr>
            <w:r w:rsidRPr="00391C26">
              <w:rPr>
                <w:sz w:val="22"/>
                <w:szCs w:val="22"/>
                <w:lang w:eastAsia="en-US"/>
              </w:rPr>
              <w:t>5. Удельный вес поверхностных источников централизованного водоснабжения, не отвечающих санитарно-эпидемиологическим требованиям из-за отсутствия зон санитарной охраны, %</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jc w:val="center"/>
              <w:rPr>
                <w:lang w:eastAsia="en-US"/>
              </w:rPr>
            </w:pPr>
            <w:r w:rsidRPr="00391C26">
              <w:rPr>
                <w:sz w:val="22"/>
                <w:szCs w:val="22"/>
                <w:lang w:eastAsia="en-US"/>
              </w:rPr>
              <w:t>75,9</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left="32" w:right="34"/>
              <w:jc w:val="center"/>
              <w:rPr>
                <w:lang w:eastAsia="en-US"/>
              </w:rPr>
            </w:pPr>
            <w:r w:rsidRPr="00391C26">
              <w:rPr>
                <w:sz w:val="22"/>
                <w:szCs w:val="22"/>
                <w:lang w:eastAsia="en-US"/>
              </w:rPr>
              <w:t>40</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left="32" w:right="34"/>
              <w:jc w:val="center"/>
              <w:rPr>
                <w:lang w:eastAsia="en-US"/>
              </w:rPr>
            </w:pPr>
            <w:r w:rsidRPr="00391C26">
              <w:rPr>
                <w:sz w:val="22"/>
                <w:szCs w:val="22"/>
                <w:lang w:eastAsia="en-US"/>
              </w:rPr>
              <w:t>66,6</w:t>
            </w:r>
          </w:p>
        </w:tc>
        <w:tc>
          <w:tcPr>
            <w:tcW w:w="0" w:type="auto"/>
            <w:tcBorders>
              <w:top w:val="single" w:sz="4" w:space="0" w:color="auto"/>
              <w:left w:val="single" w:sz="4" w:space="0" w:color="auto"/>
              <w:bottom w:val="single" w:sz="4" w:space="0" w:color="auto"/>
              <w:right w:val="single" w:sz="4" w:space="0" w:color="auto"/>
            </w:tcBorders>
            <w:vAlign w:val="center"/>
          </w:tcPr>
          <w:p w:rsidR="005D2F29" w:rsidRPr="00391C26" w:rsidRDefault="005D2F29" w:rsidP="00666569">
            <w:pPr>
              <w:ind w:right="34"/>
              <w:jc w:val="center"/>
              <w:rPr>
                <w:lang w:eastAsia="en-US"/>
              </w:rPr>
            </w:pPr>
            <w:r w:rsidRPr="00391C26">
              <w:rPr>
                <w:sz w:val="22"/>
                <w:szCs w:val="22"/>
                <w:lang w:eastAsia="en-US"/>
              </w:rPr>
              <w:t>-12,2</w:t>
            </w:r>
          </w:p>
        </w:tc>
      </w:tr>
    </w:tbl>
    <w:p w:rsidR="005D2F29" w:rsidRPr="00391C26" w:rsidRDefault="005D2F29" w:rsidP="00666569">
      <w:pPr>
        <w:rPr>
          <w:sz w:val="22"/>
          <w:szCs w:val="22"/>
          <w:lang w:eastAsia="en-US"/>
        </w:rPr>
      </w:pPr>
    </w:p>
    <w:p w:rsidR="005D2F29" w:rsidRPr="00391C26" w:rsidRDefault="005D2F29" w:rsidP="00666569">
      <w:pPr>
        <w:ind w:firstLine="708"/>
        <w:jc w:val="both"/>
      </w:pPr>
      <w:r w:rsidRPr="00391C26">
        <w:t>Итогом проведения мероприятий, направленных на профилактику нарушений юридическими лицами и индивидуальными предпринимателями обязательных требований, организованных и проведенных согласно ст.8.2 Федерального закона № 294-ФЗ от 26.12.2008 г. «О защите прав юридических лиц и индивидуальных предпринимателей при осуществлении государственного контроля (надзора) и муниципального контроля» явилась работа гарантирующих и ресурсоснабжающих организаций по разработке и утверждению в установленном порядке проектов зон санитарной охраны источников. В 2019 году выдано 39 санитарно-эпидемиологических заключений о соответствии проектов зон санитарной охраны санитарно-эпидемиологическим правилам и нормативам (2018 год – 58, 2017 год – 74, 2016 год – 42, 2015 год – 25).</w:t>
      </w:r>
    </w:p>
    <w:p w:rsidR="005D2F29" w:rsidRPr="00391C26" w:rsidRDefault="005D2F29" w:rsidP="00666569">
      <w:pPr>
        <w:ind w:firstLine="708"/>
        <w:jc w:val="both"/>
      </w:pPr>
      <w:r w:rsidRPr="00391C26">
        <w:t>Для реализации ограничительных мероприятий  на территории зон санитарной охраны Управление Роспотребнадзора по Нижегородской области активно взаимодействует с министерством экологии и природных ресурсов Нижегородской области. В соответствии с требованиями ст.18 ФЗ № 52 «О санитарно-эпидемиологическом благополучии населения» (согласно которой  проекты округов и зон санитарной охраны водных объектов, используемых для питьевого, хозяйственно-бытов</w:t>
      </w:r>
      <w:r w:rsidR="00666569">
        <w:t xml:space="preserve">ого водоснабжения утверждаются </w:t>
      </w:r>
      <w:r w:rsidRPr="00391C26">
        <w:t>органами исполнительной власти субъектов РФ), министерство экологии и природных ресурсов Нижего</w:t>
      </w:r>
      <w:r w:rsidR="00666569">
        <w:t xml:space="preserve">родской области определено как </w:t>
      </w:r>
      <w:r w:rsidRPr="00391C26">
        <w:t>уполномоченн</w:t>
      </w:r>
      <w:r w:rsidR="00666569">
        <w:t>ый орган исполнительной власти и</w:t>
      </w:r>
      <w:r w:rsidRPr="00391C26">
        <w:t xml:space="preserve"> согласован порядок утверждения </w:t>
      </w:r>
      <w:r w:rsidRPr="00391C26">
        <w:lastRenderedPageBreak/>
        <w:t>проектов зон санитарной охраны водных объектов (Постановление Правительства Нижегородской области № 157 от 09.03.2011 г. «Об уполномоченном органе исполнительной власти Нижегородской области по утверждению проектов округов и зон санитарной охраны водных объектов, используемых для питьевого, хозяйственно-бытового водоснабжения и в лечебных целях». В соответствии с изложенным, министерством экологии и природных ресурсов утверждение проектов зон санитарной охраны проводится путем издания нормативно-правого акта – Приказа, после чего сведения о зонах с особыми условиями использования территории направляются в орган кадастрового учета. Это, в свою очередь, позволяет реализовать ограничител</w:t>
      </w:r>
      <w:r w:rsidR="00666569">
        <w:t xml:space="preserve">ьные мероприятия, обязательные </w:t>
      </w:r>
      <w:r w:rsidRPr="00391C26">
        <w:t>к выполнению на те</w:t>
      </w:r>
      <w:r w:rsidR="00666569">
        <w:t>рритории каждого из поясов ЗСО,</w:t>
      </w:r>
      <w:r w:rsidRPr="00391C26">
        <w:t xml:space="preserve"> ограничить имеющее в настоящее время бесконтрольное использование земельных участков в границах зон санитарной охраны источников и усилить контроль за вновь о</w:t>
      </w:r>
      <w:r w:rsidR="00666569">
        <w:t>тводимыми земельными участками.</w:t>
      </w:r>
    </w:p>
    <w:p w:rsidR="005D2F29" w:rsidRPr="00391C26" w:rsidRDefault="005D2F29" w:rsidP="00666569">
      <w:pPr>
        <w:ind w:firstLine="708"/>
        <w:jc w:val="both"/>
      </w:pPr>
      <w:r w:rsidRPr="00391C26">
        <w:t>Кроме того, с целью предотвращения отрицательного влияния антропотехногенных факторов на качество воды водоемов, используемых в качестве источников хозяйственно-питьевого водоснабжения и в качестве зон рекреаций, Управление Роспотребнадзора по Нижегородской области взаимодействовало с Верхне-Волжским бассейновым Управлением Федерального агентства водных ресурсов. В рамках действующего Административного регламента проводилось рассмотрение и согласование нормативов допустимых сбросов в водоемы. В 2019 году согласованы нормативы допусти</w:t>
      </w:r>
      <w:r w:rsidR="00666569">
        <w:t>мых сбросов для 25 организаций.</w:t>
      </w:r>
    </w:p>
    <w:p w:rsidR="005D2F29" w:rsidRPr="00391C26" w:rsidRDefault="005D2F29" w:rsidP="00666569">
      <w:pPr>
        <w:ind w:firstLine="708"/>
        <w:jc w:val="both"/>
      </w:pPr>
      <w:r w:rsidRPr="00391C26">
        <w:t>Управлением Роспотребнадзора проводится работа по обеспечению санитарно-эпидемиологического благополучия при использовании водных объектов в рекреационных целях. Всего на территории Нижегородской области в 2019 году функционировали 34 официальные зоны отдыха (в том числе в городе Нижнем Новгороде – 16), в 2019 году выдано 34 санитарно-эпидемиологических заключения на использование водных объектов в рекреационных целях.</w:t>
      </w:r>
    </w:p>
    <w:p w:rsidR="005D2F29" w:rsidRPr="00391C26" w:rsidRDefault="005D2F29" w:rsidP="00666569">
      <w:pPr>
        <w:ind w:firstLine="708"/>
        <w:jc w:val="both"/>
      </w:pPr>
      <w:r w:rsidRPr="00391C26">
        <w:t xml:space="preserve">Перед началом и в ходе купального сезона проводится систематический лабораторный контроль качества воды водоемов рекреаций на химические, микробиологические, паразитологические </w:t>
      </w:r>
      <w:r w:rsidR="00924D67">
        <w:t xml:space="preserve">и вирусологические показатели. В 2019 году </w:t>
      </w:r>
      <w:r w:rsidRPr="00391C26">
        <w:t>качество воды в зонах рекреаций характеризовалось следующими показателями. (Табл. №4, Рис. №2). Качество воды по вирусологическим показателям соответствовало требованиям санитарных правил и нормативов.</w:t>
      </w:r>
    </w:p>
    <w:p w:rsidR="005D2F29" w:rsidRPr="00391C26" w:rsidRDefault="005D2F29" w:rsidP="005D2F29">
      <w:pPr>
        <w:ind w:firstLine="709"/>
        <w:jc w:val="right"/>
        <w:rPr>
          <w:sz w:val="22"/>
          <w:szCs w:val="22"/>
        </w:rPr>
      </w:pPr>
      <w:r w:rsidRPr="00391C26">
        <w:rPr>
          <w:sz w:val="22"/>
          <w:szCs w:val="22"/>
        </w:rPr>
        <w:t>Таблица № 4</w:t>
      </w:r>
    </w:p>
    <w:p w:rsidR="005D2F29" w:rsidRPr="00924D67" w:rsidRDefault="005D2F29" w:rsidP="005D2F29">
      <w:pPr>
        <w:ind w:firstLine="709"/>
        <w:jc w:val="right"/>
        <w:rPr>
          <w:sz w:val="16"/>
          <w:szCs w:val="16"/>
        </w:rPr>
      </w:pPr>
    </w:p>
    <w:p w:rsidR="005D2F29" w:rsidRPr="00391C26" w:rsidRDefault="005D2F29" w:rsidP="005D2F29">
      <w:pPr>
        <w:ind w:firstLine="709"/>
        <w:jc w:val="center"/>
        <w:rPr>
          <w:b/>
          <w:sz w:val="22"/>
          <w:szCs w:val="22"/>
        </w:rPr>
      </w:pPr>
      <w:r w:rsidRPr="00391C26">
        <w:rPr>
          <w:b/>
          <w:sz w:val="22"/>
          <w:szCs w:val="22"/>
        </w:rPr>
        <w:t>Гигиен</w:t>
      </w:r>
      <w:r w:rsidR="00924D67">
        <w:rPr>
          <w:b/>
          <w:sz w:val="22"/>
          <w:szCs w:val="22"/>
        </w:rPr>
        <w:t>ическая характеристика водоемов</w:t>
      </w:r>
      <w:r w:rsidRPr="00391C26">
        <w:rPr>
          <w:b/>
          <w:sz w:val="22"/>
          <w:szCs w:val="22"/>
        </w:rPr>
        <w:t xml:space="preserve"> II категории</w:t>
      </w:r>
    </w:p>
    <w:p w:rsidR="005D2F29" w:rsidRPr="00924D67" w:rsidRDefault="005D2F29" w:rsidP="005D2F29">
      <w:pPr>
        <w:ind w:firstLine="709"/>
        <w:rPr>
          <w:sz w:val="16"/>
          <w:szCs w:val="16"/>
        </w:rPr>
      </w:pPr>
    </w:p>
    <w:tbl>
      <w:tblPr>
        <w:tblW w:w="50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4"/>
        <w:gridCol w:w="568"/>
        <w:gridCol w:w="568"/>
        <w:gridCol w:w="568"/>
        <w:gridCol w:w="1108"/>
        <w:gridCol w:w="569"/>
        <w:gridCol w:w="569"/>
        <w:gridCol w:w="569"/>
        <w:gridCol w:w="1108"/>
        <w:gridCol w:w="569"/>
        <w:gridCol w:w="569"/>
        <w:gridCol w:w="569"/>
        <w:gridCol w:w="1108"/>
      </w:tblGrid>
      <w:tr w:rsidR="005D2F29" w:rsidRPr="00391C26" w:rsidTr="005D2F29">
        <w:tc>
          <w:tcPr>
            <w:tcW w:w="53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FB7FA3" w:rsidRDefault="005D2F29" w:rsidP="005D2F29">
            <w:pPr>
              <w:spacing w:line="276" w:lineRule="auto"/>
              <w:rPr>
                <w:sz w:val="21"/>
                <w:szCs w:val="21"/>
                <w:lang w:eastAsia="en-US"/>
              </w:rPr>
            </w:pPr>
            <w:r w:rsidRPr="00FB7FA3">
              <w:rPr>
                <w:sz w:val="21"/>
                <w:szCs w:val="21"/>
                <w:lang w:eastAsia="en-US"/>
              </w:rPr>
              <w:t>Категории водоемов</w:t>
            </w:r>
          </w:p>
        </w:tc>
        <w:tc>
          <w:tcPr>
            <w:tcW w:w="148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FB7FA3" w:rsidRDefault="005D2F29" w:rsidP="005D2F29">
            <w:pPr>
              <w:spacing w:line="276" w:lineRule="auto"/>
              <w:rPr>
                <w:sz w:val="21"/>
                <w:szCs w:val="21"/>
                <w:lang w:eastAsia="en-US"/>
              </w:rPr>
            </w:pPr>
            <w:r w:rsidRPr="00FB7FA3">
              <w:rPr>
                <w:sz w:val="21"/>
                <w:szCs w:val="21"/>
                <w:lang w:eastAsia="en-US"/>
              </w:rPr>
              <w:t xml:space="preserve">Удельный вес проб воды, не соответствующей требованиям гигиенических нормативов по </w:t>
            </w:r>
          </w:p>
        </w:tc>
        <w:tc>
          <w:tcPr>
            <w:tcW w:w="148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FB7FA3" w:rsidRDefault="005D2F29" w:rsidP="005D2F29">
            <w:pPr>
              <w:spacing w:line="276" w:lineRule="auto"/>
              <w:rPr>
                <w:sz w:val="21"/>
                <w:szCs w:val="21"/>
                <w:lang w:eastAsia="en-US"/>
              </w:rPr>
            </w:pPr>
            <w:r w:rsidRPr="00FB7FA3">
              <w:rPr>
                <w:sz w:val="21"/>
                <w:szCs w:val="21"/>
                <w:lang w:eastAsia="en-US"/>
              </w:rPr>
              <w:t>Удельный вес проб воды, не соответствующей требованиям гигиенических нормативов по микробиологическим показателям, %</w:t>
            </w:r>
          </w:p>
        </w:tc>
        <w:tc>
          <w:tcPr>
            <w:tcW w:w="1489"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FB7FA3" w:rsidRDefault="005D2F29" w:rsidP="005D2F29">
            <w:pPr>
              <w:spacing w:line="276" w:lineRule="auto"/>
              <w:rPr>
                <w:sz w:val="21"/>
                <w:szCs w:val="21"/>
                <w:lang w:eastAsia="en-US"/>
              </w:rPr>
            </w:pPr>
            <w:r w:rsidRPr="00FB7FA3">
              <w:rPr>
                <w:sz w:val="21"/>
                <w:szCs w:val="21"/>
                <w:lang w:eastAsia="en-US"/>
              </w:rPr>
              <w:t>Удельный вес проб воды, не соответствующей требованиям гигиенических нормативов по паразитологическим показателям, %</w:t>
            </w:r>
          </w:p>
        </w:tc>
      </w:tr>
      <w:tr w:rsidR="005D2F29" w:rsidRPr="00391C26" w:rsidTr="005D2F29">
        <w:trPr>
          <w:trHeight w:val="567"/>
        </w:trPr>
        <w:tc>
          <w:tcPr>
            <w:tcW w:w="53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EF7CBC" w:rsidRDefault="005D2F29" w:rsidP="005D2F29">
            <w:pPr>
              <w:spacing w:line="276" w:lineRule="auto"/>
              <w:rPr>
                <w:lang w:eastAsia="en-US"/>
              </w:rPr>
            </w:pP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2017</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2018</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2019</w:t>
            </w:r>
          </w:p>
        </w:tc>
        <w:tc>
          <w:tcPr>
            <w:tcW w:w="5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Темп прироста</w:t>
            </w:r>
          </w:p>
          <w:p w:rsidR="005D2F29" w:rsidRPr="00391C26" w:rsidRDefault="005D2F29" w:rsidP="005D2F29">
            <w:pPr>
              <w:spacing w:line="276" w:lineRule="auto"/>
              <w:rPr>
                <w:lang w:eastAsia="en-US"/>
              </w:rPr>
            </w:pPr>
            <w:r w:rsidRPr="00391C26">
              <w:rPr>
                <w:sz w:val="22"/>
                <w:szCs w:val="22"/>
                <w:lang w:eastAsia="en-US"/>
              </w:rPr>
              <w:t>к  2017 году, %</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2017</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2018</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2019</w:t>
            </w:r>
          </w:p>
        </w:tc>
        <w:tc>
          <w:tcPr>
            <w:tcW w:w="5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Темп прироста к  2017 году, %</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2017</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2018</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2018</w:t>
            </w:r>
          </w:p>
        </w:tc>
        <w:tc>
          <w:tcPr>
            <w:tcW w:w="5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5D2F29" w:rsidRPr="00391C26" w:rsidRDefault="005D2F29" w:rsidP="005D2F29">
            <w:pPr>
              <w:spacing w:line="276" w:lineRule="auto"/>
              <w:rPr>
                <w:lang w:eastAsia="en-US"/>
              </w:rPr>
            </w:pPr>
            <w:r w:rsidRPr="00391C26">
              <w:rPr>
                <w:sz w:val="22"/>
                <w:szCs w:val="22"/>
                <w:lang w:eastAsia="en-US"/>
              </w:rPr>
              <w:t>Темп прироста к  2017 году, %</w:t>
            </w:r>
          </w:p>
        </w:tc>
      </w:tr>
      <w:tr w:rsidR="005D2F29" w:rsidRPr="00391C26" w:rsidTr="005D2F29">
        <w:trPr>
          <w:trHeight w:val="567"/>
        </w:trPr>
        <w:tc>
          <w:tcPr>
            <w:tcW w:w="53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rPr>
                <w:lang w:eastAsia="en-US"/>
              </w:rPr>
            </w:pPr>
            <w:r w:rsidRPr="00391C26">
              <w:rPr>
                <w:sz w:val="22"/>
                <w:szCs w:val="22"/>
                <w:lang w:val="en-US" w:eastAsia="en-US"/>
              </w:rPr>
              <w:t>II</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eastAsia="en-US"/>
              </w:rPr>
              <w:t>21,0</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eastAsia="en-US"/>
              </w:rPr>
              <w:t>18,9</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eastAsia="en-US"/>
              </w:rPr>
              <w:t>17,1</w:t>
            </w:r>
          </w:p>
        </w:tc>
        <w:tc>
          <w:tcPr>
            <w:tcW w:w="5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eastAsia="en-US"/>
              </w:rPr>
              <w:t>-18,5</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eastAsia="en-US"/>
              </w:rPr>
              <w:t>30,7</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eastAsia="en-US"/>
              </w:rPr>
              <w:t>23,9</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eastAsia="en-US"/>
              </w:rPr>
              <w:t>27,7</w:t>
            </w:r>
          </w:p>
        </w:tc>
        <w:tc>
          <w:tcPr>
            <w:tcW w:w="5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eastAsia="en-US"/>
              </w:rPr>
              <w:t>-9,7</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eastAsia="en-US"/>
              </w:rPr>
              <w:t>0</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eastAsia="en-US"/>
              </w:rPr>
              <w:t>0,3</w:t>
            </w:r>
          </w:p>
        </w:tc>
        <w:tc>
          <w:tcPr>
            <w:tcW w:w="30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eastAsia="en-US"/>
              </w:rPr>
              <w:t>0,5</w:t>
            </w:r>
          </w:p>
        </w:tc>
        <w:tc>
          <w:tcPr>
            <w:tcW w:w="5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spacing w:line="276" w:lineRule="auto"/>
              <w:jc w:val="center"/>
              <w:rPr>
                <w:lang w:eastAsia="en-US"/>
              </w:rPr>
            </w:pPr>
            <w:r w:rsidRPr="00391C26">
              <w:rPr>
                <w:sz w:val="22"/>
                <w:szCs w:val="22"/>
                <w:lang w:val="en-US" w:eastAsia="en-US"/>
              </w:rPr>
              <w:t>*</w:t>
            </w:r>
          </w:p>
        </w:tc>
      </w:tr>
    </w:tbl>
    <w:p w:rsidR="005D2F29" w:rsidRPr="00391C26" w:rsidRDefault="005D2F29" w:rsidP="005D2F29"/>
    <w:p w:rsidR="005D2F29" w:rsidRPr="00391C26" w:rsidRDefault="005D2F29" w:rsidP="005D2F29">
      <w:pPr>
        <w:rPr>
          <w:highlight w:val="yellow"/>
        </w:rPr>
      </w:pPr>
      <w:r>
        <w:rPr>
          <w:noProof/>
        </w:rPr>
        <w:lastRenderedPageBreak/>
        <w:drawing>
          <wp:inline distT="0" distB="0" distL="0" distR="0">
            <wp:extent cx="5836920" cy="2392680"/>
            <wp:effectExtent l="0" t="0" r="0" b="0"/>
            <wp:docPr id="35"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D2F29" w:rsidRPr="00391C26" w:rsidRDefault="005D2F29" w:rsidP="005D2F29">
      <w:pPr>
        <w:ind w:firstLine="709"/>
        <w:jc w:val="center"/>
        <w:rPr>
          <w:sz w:val="22"/>
          <w:szCs w:val="22"/>
        </w:rPr>
      </w:pPr>
      <w:r w:rsidRPr="00391C26">
        <w:rPr>
          <w:sz w:val="22"/>
          <w:szCs w:val="22"/>
        </w:rPr>
        <w:t>Рис.№2. Динамика качества воды водоемов 2 категории.</w:t>
      </w:r>
    </w:p>
    <w:p w:rsidR="005D2F29" w:rsidRPr="00924D67" w:rsidRDefault="005D2F29" w:rsidP="005D2F29">
      <w:pPr>
        <w:ind w:firstLine="709"/>
        <w:jc w:val="center"/>
        <w:rPr>
          <w:sz w:val="16"/>
          <w:szCs w:val="16"/>
        </w:rPr>
      </w:pPr>
    </w:p>
    <w:p w:rsidR="005D2F29" w:rsidRPr="00391C26" w:rsidRDefault="005D2F29" w:rsidP="00924D67">
      <w:pPr>
        <w:ind w:firstLine="709"/>
        <w:jc w:val="both"/>
      </w:pPr>
      <w:r w:rsidRPr="00391C26">
        <w:t>Перед началом оздоровительного сезона ежегодно проводятся исследования почвы пляжей на микробиологические, химические и паразитологические показатели, результаты соответствовали гигиеническим нормативам. О результатах исследований информация еженедельно направлялась в ОМСУ  и размещалась на сайте Управления.</w:t>
      </w:r>
    </w:p>
    <w:p w:rsidR="005D2F29" w:rsidRPr="00924D67" w:rsidRDefault="005D2F29" w:rsidP="005D2F29">
      <w:pPr>
        <w:ind w:firstLine="709"/>
        <w:jc w:val="center"/>
        <w:rPr>
          <w:i/>
          <w:sz w:val="16"/>
          <w:szCs w:val="16"/>
        </w:rPr>
      </w:pPr>
    </w:p>
    <w:p w:rsidR="005D2F29" w:rsidRPr="00391C26" w:rsidRDefault="005D2F29" w:rsidP="005D2F29">
      <w:pPr>
        <w:ind w:firstLine="709"/>
        <w:jc w:val="center"/>
        <w:rPr>
          <w:b/>
        </w:rPr>
      </w:pPr>
      <w:r w:rsidRPr="00391C26">
        <w:rPr>
          <w:b/>
        </w:rPr>
        <w:t>Гигиенические проблемы питьевого водоснабжения</w:t>
      </w:r>
    </w:p>
    <w:p w:rsidR="005D2F29" w:rsidRPr="00924D67" w:rsidRDefault="005D2F29" w:rsidP="005D2F29">
      <w:pPr>
        <w:ind w:firstLine="709"/>
        <w:jc w:val="center"/>
        <w:rPr>
          <w:b/>
          <w:sz w:val="16"/>
          <w:szCs w:val="16"/>
        </w:rPr>
      </w:pPr>
    </w:p>
    <w:p w:rsidR="005D2F29" w:rsidRPr="00391C26" w:rsidRDefault="005D2F29" w:rsidP="00924D67">
      <w:pPr>
        <w:ind w:firstLine="709"/>
        <w:jc w:val="both"/>
      </w:pPr>
      <w:r w:rsidRPr="00391C26">
        <w:t>В 2019 году 92,8% населения Нижегоросдокй области обеспечено качественной питьевой водой из централизованных систем водоснабжения.(Табл. №5)</w:t>
      </w:r>
    </w:p>
    <w:p w:rsidR="005D2F29" w:rsidRPr="00924D67" w:rsidRDefault="005D2F29" w:rsidP="00924D67">
      <w:pPr>
        <w:ind w:firstLine="709"/>
        <w:jc w:val="right"/>
        <w:rPr>
          <w:sz w:val="16"/>
          <w:szCs w:val="16"/>
        </w:rPr>
      </w:pPr>
    </w:p>
    <w:p w:rsidR="005D2F29" w:rsidRPr="00391C26" w:rsidRDefault="005D2F29" w:rsidP="00924D67">
      <w:pPr>
        <w:ind w:firstLine="709"/>
        <w:jc w:val="right"/>
        <w:rPr>
          <w:sz w:val="22"/>
          <w:szCs w:val="22"/>
        </w:rPr>
      </w:pPr>
      <w:r w:rsidRPr="00391C26">
        <w:rPr>
          <w:sz w:val="22"/>
          <w:szCs w:val="22"/>
        </w:rPr>
        <w:t xml:space="preserve">Таблица № 5 </w:t>
      </w:r>
    </w:p>
    <w:p w:rsidR="005D2F29" w:rsidRPr="00924D67" w:rsidRDefault="005D2F29" w:rsidP="00924D67">
      <w:pPr>
        <w:ind w:firstLine="709"/>
        <w:jc w:val="right"/>
        <w:rPr>
          <w:sz w:val="16"/>
          <w:szCs w:val="16"/>
        </w:rPr>
      </w:pPr>
    </w:p>
    <w:p w:rsidR="005D2F29" w:rsidRPr="00391C26" w:rsidRDefault="005D2F29" w:rsidP="00924D67">
      <w:pPr>
        <w:rPr>
          <w:b/>
          <w:sz w:val="22"/>
          <w:szCs w:val="22"/>
        </w:rPr>
      </w:pPr>
      <w:r w:rsidRPr="00391C26">
        <w:rPr>
          <w:b/>
          <w:sz w:val="22"/>
          <w:szCs w:val="22"/>
        </w:rPr>
        <w:t>Обеспеченность населения  Нижегородской области доброкачественной питьевой водой</w:t>
      </w:r>
    </w:p>
    <w:p w:rsidR="005D2F29" w:rsidRPr="00924D67" w:rsidRDefault="005D2F29" w:rsidP="00924D67">
      <w:pPr>
        <w:rPr>
          <w:b/>
          <w:sz w:val="16"/>
          <w:szCs w:val="16"/>
        </w:rPr>
      </w:pPr>
    </w:p>
    <w:tbl>
      <w:tblPr>
        <w:tblW w:w="9070" w:type="dxa"/>
        <w:jc w:val="center"/>
        <w:tblLook w:val="01E0"/>
      </w:tblPr>
      <w:tblGrid>
        <w:gridCol w:w="4820"/>
        <w:gridCol w:w="850"/>
        <w:gridCol w:w="851"/>
        <w:gridCol w:w="992"/>
        <w:gridCol w:w="1557"/>
      </w:tblGrid>
      <w:tr w:rsidR="005D2F29" w:rsidRPr="00391C26" w:rsidTr="005D2F29">
        <w:trPr>
          <w:jc w:val="center"/>
        </w:trPr>
        <w:tc>
          <w:tcPr>
            <w:tcW w:w="482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Показатель</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2017</w:t>
            </w:r>
          </w:p>
        </w:tc>
        <w:tc>
          <w:tcPr>
            <w:tcW w:w="851"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2018</w:t>
            </w:r>
          </w:p>
        </w:tc>
        <w:tc>
          <w:tcPr>
            <w:tcW w:w="992"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2019</w:t>
            </w:r>
          </w:p>
        </w:tc>
        <w:tc>
          <w:tcPr>
            <w:tcW w:w="1557"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Темп прироста к  2017  году, %</w:t>
            </w:r>
          </w:p>
        </w:tc>
      </w:tr>
      <w:tr w:rsidR="005D2F29" w:rsidRPr="00391C26" w:rsidTr="005D2F29">
        <w:trPr>
          <w:jc w:val="center"/>
        </w:trPr>
        <w:tc>
          <w:tcPr>
            <w:tcW w:w="482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rPr>
                <w:lang w:eastAsia="en-US"/>
              </w:rPr>
            </w:pPr>
            <w:r w:rsidRPr="00391C26">
              <w:rPr>
                <w:sz w:val="22"/>
                <w:szCs w:val="22"/>
                <w:lang w:eastAsia="en-US"/>
              </w:rPr>
              <w:t>Удельный вес населения, обеспеченного качественной питьевой водой из систем централизованного водоснабжения, %</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92,8</w:t>
            </w:r>
          </w:p>
        </w:tc>
        <w:tc>
          <w:tcPr>
            <w:tcW w:w="851"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92,8</w:t>
            </w:r>
          </w:p>
        </w:tc>
        <w:tc>
          <w:tcPr>
            <w:tcW w:w="992"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92,8</w:t>
            </w:r>
          </w:p>
        </w:tc>
        <w:tc>
          <w:tcPr>
            <w:tcW w:w="1557"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w:t>
            </w:r>
          </w:p>
        </w:tc>
      </w:tr>
      <w:tr w:rsidR="005D2F29" w:rsidRPr="00391C26" w:rsidTr="005D2F29">
        <w:trPr>
          <w:trHeight w:val="870"/>
          <w:jc w:val="center"/>
        </w:trPr>
        <w:tc>
          <w:tcPr>
            <w:tcW w:w="482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rPr>
                <w:lang w:eastAsia="en-US"/>
              </w:rPr>
            </w:pPr>
            <w:r w:rsidRPr="00391C26">
              <w:rPr>
                <w:sz w:val="22"/>
                <w:szCs w:val="22"/>
                <w:lang w:eastAsia="en-US"/>
              </w:rPr>
              <w:t>Удельный вес городского  населения, обеспеченного качественной питьевой водой из систем централизованного водоснабжения, %</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97,0</w:t>
            </w:r>
          </w:p>
        </w:tc>
        <w:tc>
          <w:tcPr>
            <w:tcW w:w="851"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97,0</w:t>
            </w:r>
          </w:p>
        </w:tc>
        <w:tc>
          <w:tcPr>
            <w:tcW w:w="992"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lang w:eastAsia="en-US"/>
              </w:rPr>
            </w:pPr>
            <w:r w:rsidRPr="00391C26">
              <w:rPr>
                <w:sz w:val="22"/>
                <w:szCs w:val="22"/>
                <w:lang w:eastAsia="en-US"/>
              </w:rPr>
              <w:t>97,0</w:t>
            </w:r>
          </w:p>
        </w:tc>
        <w:tc>
          <w:tcPr>
            <w:tcW w:w="1557"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924D67">
            <w:pPr>
              <w:jc w:val="center"/>
              <w:rPr>
                <w:highlight w:val="yellow"/>
                <w:lang w:eastAsia="en-US"/>
              </w:rPr>
            </w:pPr>
            <w:r w:rsidRPr="00391C26">
              <w:rPr>
                <w:sz w:val="22"/>
                <w:szCs w:val="22"/>
                <w:lang w:eastAsia="en-US"/>
              </w:rPr>
              <w:t>*</w:t>
            </w:r>
          </w:p>
        </w:tc>
      </w:tr>
    </w:tbl>
    <w:p w:rsidR="005D2F29" w:rsidRPr="00391C26" w:rsidRDefault="005D2F29" w:rsidP="00924D67">
      <w:pPr>
        <w:rPr>
          <w:lang w:eastAsia="en-US"/>
        </w:rPr>
      </w:pPr>
    </w:p>
    <w:p w:rsidR="005D2F29" w:rsidRPr="00391C26" w:rsidRDefault="00924D67" w:rsidP="00924D67">
      <w:pPr>
        <w:ind w:firstLine="708"/>
        <w:jc w:val="both"/>
      </w:pPr>
      <w:r>
        <w:t xml:space="preserve">В 2019 году </w:t>
      </w:r>
      <w:r w:rsidR="005D2F29" w:rsidRPr="00391C26">
        <w:t>удельный вес проб воды, несоответствующих требованиям гигиенических нормативов по микробиологическим показателям по Нижегородской области составил 2,4% (2018</w:t>
      </w:r>
      <w:r>
        <w:t xml:space="preserve"> год - 2,6%, 2017 год – 2,4%), </w:t>
      </w:r>
      <w:r w:rsidR="005D2F29" w:rsidRPr="00391C26">
        <w:t xml:space="preserve">по г. Н.Новгороду этот показатель составил 1,2% (2018 год - 0,6%, 2017 год – 0,6%). </w:t>
      </w:r>
    </w:p>
    <w:p w:rsidR="005D2F29" w:rsidRPr="00391C26" w:rsidRDefault="005D2F29" w:rsidP="00924D67">
      <w:pPr>
        <w:ind w:firstLine="708"/>
        <w:jc w:val="both"/>
      </w:pPr>
      <w:r w:rsidRPr="00391C26">
        <w:t>По санитарно-химическим показателям удельный вес нестандартных проб воды по Нижегородской области  составил 10,0% (2018 г</w:t>
      </w:r>
      <w:r w:rsidR="00924D67">
        <w:t xml:space="preserve">од - 10,2%, 2017 год – 10,0%), </w:t>
      </w:r>
      <w:r w:rsidRPr="00391C26">
        <w:t>по г.Н.Новгороду – 1,3% (2018 год - 3,8%, 2017 год – 2,8%). По паразитологическим и вирусологическим показателям в течение последних 5-ти лет  пробы, не соответствующие требованиям гигиенических нормативов, отсутствовали (Табл. №6,7 Рис.№3,4).</w:t>
      </w:r>
    </w:p>
    <w:p w:rsidR="005D2F29" w:rsidRPr="00391C26" w:rsidRDefault="00924D67" w:rsidP="005D2F29">
      <w:pPr>
        <w:ind w:firstLine="709"/>
        <w:jc w:val="right"/>
        <w:rPr>
          <w:sz w:val="22"/>
          <w:szCs w:val="22"/>
        </w:rPr>
      </w:pPr>
      <w:r>
        <w:rPr>
          <w:sz w:val="22"/>
          <w:szCs w:val="22"/>
        </w:rPr>
        <w:t>Таблица № 6</w:t>
      </w:r>
    </w:p>
    <w:p w:rsidR="005D2F29" w:rsidRPr="00924D67" w:rsidRDefault="005D2F29" w:rsidP="005D2F29">
      <w:pPr>
        <w:ind w:firstLine="709"/>
        <w:jc w:val="right"/>
        <w:rPr>
          <w:sz w:val="16"/>
          <w:szCs w:val="16"/>
        </w:rPr>
      </w:pPr>
    </w:p>
    <w:p w:rsidR="005D2F29" w:rsidRPr="00391C26" w:rsidRDefault="005D2F29" w:rsidP="005D2F29">
      <w:pPr>
        <w:ind w:left="360"/>
        <w:jc w:val="center"/>
        <w:rPr>
          <w:b/>
          <w:sz w:val="22"/>
          <w:szCs w:val="22"/>
        </w:rPr>
      </w:pPr>
      <w:r w:rsidRPr="00391C26">
        <w:rPr>
          <w:b/>
          <w:sz w:val="22"/>
          <w:szCs w:val="22"/>
        </w:rPr>
        <w:t>Удельный вес проб воды, несоответствующих требова</w:t>
      </w:r>
      <w:r w:rsidR="00924D67">
        <w:rPr>
          <w:b/>
          <w:sz w:val="22"/>
          <w:szCs w:val="22"/>
        </w:rPr>
        <w:t xml:space="preserve">ниям гигиенических нормативов, </w:t>
      </w:r>
      <w:r w:rsidRPr="00391C26">
        <w:rPr>
          <w:b/>
          <w:sz w:val="22"/>
          <w:szCs w:val="22"/>
        </w:rPr>
        <w:t xml:space="preserve">по санитарно-химическим показателям </w:t>
      </w:r>
    </w:p>
    <w:p w:rsidR="005D2F29" w:rsidRPr="00924D67" w:rsidRDefault="005D2F29" w:rsidP="005D2F29">
      <w:pPr>
        <w:ind w:left="360"/>
        <w:jc w:val="center"/>
        <w:rPr>
          <w:b/>
          <w:sz w:val="16"/>
          <w:szCs w:val="16"/>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0"/>
        <w:gridCol w:w="1679"/>
        <w:gridCol w:w="1679"/>
        <w:gridCol w:w="1679"/>
        <w:gridCol w:w="1413"/>
      </w:tblGrid>
      <w:tr w:rsidR="005D2F29" w:rsidRPr="00391C26" w:rsidTr="005D2F29">
        <w:trPr>
          <w:tblHeader/>
        </w:trPr>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2017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2018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2019</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Темп прироста, к 2017 году, %</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Ардатовский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0,8</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-27,2</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Арзамасский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0,2</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Балахнинский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25,1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22,8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13,4</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-46,6</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Богородский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7,36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40,1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9,3</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26,3</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Большеболдинский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15,3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4,1</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-50,6</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Большемурашкинский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15,2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12,5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14,2</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-6,5</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Борский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2,8</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-56,9</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Бутурлинский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7,3</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58,6</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Вадский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53,3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29,0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96,3</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-31,8</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Варнавинский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Вачский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9,1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19,3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31,8</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Ветлужский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Вознесенский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11,7</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Воротынский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19,7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18,5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13,1</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-33,5</w:t>
            </w:r>
          </w:p>
        </w:tc>
      </w:tr>
      <w:tr w:rsidR="005D2F29" w:rsidRPr="00391C26" w:rsidTr="005D2F29">
        <w:trPr>
          <w:trHeight w:val="368"/>
        </w:trPr>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Воскресенский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4,8</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-31,4</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Выксунский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15,1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14,6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15,9</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5,2</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Гагинский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14,2</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Городецкий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8,1</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10,9</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Дальнеконстантиновский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2,2</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-54,1</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Володарский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42,4</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Дивеевский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15,5</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Княгининский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9,6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8,1</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Ковернинский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-15,6</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Краснобаковский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Краснооктябрьский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3,9</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50,0</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Кстовский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12,1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7,6</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-37,1</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Кулебакский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29,8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22,4</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-24,8</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Лукояновский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Лысковский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9,1</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Навашинский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61,3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73,2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69,0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12,5</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Павловский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5,37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-79,3</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Первомайский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55,0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38,1</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-30,7</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Перевозский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1,7</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Пильнинский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21,7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Починковский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34,3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8,7</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85,1</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Семеновский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10,3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9,9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9,0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-12,6</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Сергачский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8,3</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Сеченовский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53,6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3,3</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Сосновский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27,9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13,0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Спасский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12,5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Тонкинский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Тоншаевский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3,2</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Уренский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4,6</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70,3</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Чкаловский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60,6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57,5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50,8</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-16,1</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Шарангский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Шатковский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2,7</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Шахунский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23,7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22,7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22,3</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-5,9</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Сокольский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lastRenderedPageBreak/>
              <w:t>г. Дзержинск</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10,4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20,8</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100</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г. Нижний Новгород</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1,3</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-53,5</w:t>
            </w:r>
          </w:p>
        </w:tc>
      </w:tr>
      <w:tr w:rsidR="005D2F29" w:rsidRPr="00391C26" w:rsidTr="005D2F29">
        <w:tc>
          <w:tcPr>
            <w:tcW w:w="2730"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ВСЕГО ПО ОБЛАСТИ</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10,0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10,2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10,0</w:t>
            </w:r>
          </w:p>
        </w:tc>
        <w:tc>
          <w:tcPr>
            <w:tcW w:w="1413"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bl>
    <w:p w:rsidR="005D2F29" w:rsidRPr="00391C26" w:rsidRDefault="005D2F29" w:rsidP="005D2F29">
      <w:pPr>
        <w:pStyle w:val="ab"/>
        <w:spacing w:before="0" w:beforeAutospacing="0" w:after="200" w:afterAutospacing="0" w:line="276" w:lineRule="auto"/>
        <w:rPr>
          <w:sz w:val="20"/>
          <w:szCs w:val="20"/>
        </w:rPr>
      </w:pPr>
      <w:r w:rsidRPr="00FB7FA3">
        <w:rPr>
          <w:b/>
          <w:sz w:val="20"/>
          <w:szCs w:val="20"/>
        </w:rPr>
        <w:t>*</w:t>
      </w:r>
      <w:r>
        <w:rPr>
          <w:sz w:val="20"/>
          <w:szCs w:val="20"/>
        </w:rPr>
        <w:t> </w:t>
      </w:r>
      <w:r>
        <w:rPr>
          <w:sz w:val="20"/>
          <w:szCs w:val="20"/>
        </w:rPr>
        <w:noBreakHyphen/>
        <w:t> </w:t>
      </w:r>
      <w:r w:rsidRPr="00391C26">
        <w:rPr>
          <w:sz w:val="20"/>
          <w:szCs w:val="20"/>
        </w:rPr>
        <w:t>Нерепрезентативность статистических величин</w:t>
      </w:r>
    </w:p>
    <w:p w:rsidR="005D2F29" w:rsidRPr="00391C26" w:rsidRDefault="005D2F29" w:rsidP="005D2F29">
      <w:pPr>
        <w:ind w:left="360"/>
        <w:jc w:val="right"/>
        <w:rPr>
          <w:sz w:val="22"/>
          <w:szCs w:val="22"/>
        </w:rPr>
      </w:pPr>
      <w:r w:rsidRPr="00391C26">
        <w:rPr>
          <w:sz w:val="22"/>
          <w:szCs w:val="22"/>
        </w:rPr>
        <w:t>Таблица 7</w:t>
      </w:r>
    </w:p>
    <w:p w:rsidR="005D2F29" w:rsidRPr="00391C26" w:rsidRDefault="005D2F29" w:rsidP="005D2F29">
      <w:pPr>
        <w:ind w:left="360"/>
        <w:jc w:val="center"/>
        <w:rPr>
          <w:b/>
          <w:sz w:val="22"/>
          <w:szCs w:val="22"/>
        </w:rPr>
      </w:pPr>
      <w:r w:rsidRPr="00391C26">
        <w:rPr>
          <w:b/>
          <w:sz w:val="22"/>
          <w:szCs w:val="22"/>
        </w:rPr>
        <w:t xml:space="preserve">Удельный вес проб воды, несоответствующих требованиям гигиенических нормативов,  по микробиологическим показателям </w:t>
      </w:r>
    </w:p>
    <w:p w:rsidR="005D2F29" w:rsidRPr="00924D67" w:rsidRDefault="005D2F29" w:rsidP="005D2F29">
      <w:pPr>
        <w:ind w:left="360"/>
        <w:jc w:val="center"/>
        <w:rPr>
          <w:b/>
          <w:sz w:val="16"/>
          <w:szCs w:val="16"/>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8"/>
        <w:gridCol w:w="1679"/>
        <w:gridCol w:w="1679"/>
        <w:gridCol w:w="1679"/>
        <w:gridCol w:w="1305"/>
      </w:tblGrid>
      <w:tr w:rsidR="005D2F29" w:rsidRPr="00391C26" w:rsidTr="005D2F29">
        <w:trPr>
          <w:tblHeader/>
        </w:trPr>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2017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2018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highlight w:val="yellow"/>
                <w:lang w:eastAsia="en-US"/>
              </w:rPr>
            </w:pPr>
            <w:r w:rsidRPr="00391C26">
              <w:rPr>
                <w:sz w:val="22"/>
                <w:szCs w:val="22"/>
                <w:lang w:eastAsia="en-US"/>
              </w:rPr>
              <w:t>2019</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highlight w:val="yellow"/>
                <w:lang w:eastAsia="en-US"/>
              </w:rPr>
            </w:pPr>
            <w:r w:rsidRPr="00391C26">
              <w:rPr>
                <w:sz w:val="22"/>
                <w:szCs w:val="22"/>
                <w:lang w:eastAsia="en-US"/>
              </w:rPr>
              <w:t>Темп прироста к 2017  году,%</w:t>
            </w:r>
          </w:p>
        </w:tc>
      </w:tr>
      <w:tr w:rsidR="005D2F29" w:rsidRPr="00391C26" w:rsidTr="005D2F29">
        <w:trPr>
          <w:trHeight w:val="254"/>
        </w:trPr>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Ардатовский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Арзамасский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Балахнинский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-4,7</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Богородский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Большеболдинский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24,0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Большемурашкинский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23,4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21,0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17,8</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-23,9</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Борский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0,8</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Бутурлинский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10,1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9,3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11,1</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9,9</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Вадский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Варнавинский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2,7</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Вачский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74</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Ветлужский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Вознесенский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3,9</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-25,0</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Воротынский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3,6</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Воскресенский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8,7</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7,4</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Выксунский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1,7</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-19,0</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Гагинский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81,8</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Городецкий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1,7</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-32,0</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Дальнеконстантиновский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15,8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11,2</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-29,1</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Володарский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10,4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11,1</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Дивеевский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Княгининский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1,7</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Ковернинский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0,7</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Краснобаковский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4,6</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Краснооктябрьский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3,2</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44,8</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Кстовский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0,1</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-98,3</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Кулебакский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4,2</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2,2</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Лукояновский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3,4</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-24,4</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Лысковский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0,86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1,1</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27,9</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Навашинский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6,3</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65,7</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Павловский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Первомайский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Перевозский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13,5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18,8</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-39,2</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Пильнинский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4,2</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Починковский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0,7</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Семеновский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5,3</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35,8</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lastRenderedPageBreak/>
              <w:t>Сергачский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4,3</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-34,8</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Сеченовский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9,8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Сосновский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Спасский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19,6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Тонкинский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Тоншаевский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Уренский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6,3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0,5</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-85,2</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Чкаловский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Шарангский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18,6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4,7</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rPr>
          <w:trHeight w:val="278"/>
        </w:trPr>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Шатковский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2,2</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3,4</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54,5</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Шахунский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5</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2,0</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Сокольский район</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12,1</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8,9</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20,9</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72,7</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г. Дзержинск</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1,8</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1,3</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2,5</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38,8</w:t>
            </w: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г. Нижний Новгород</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0,6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1,2</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spacing w:line="276" w:lineRule="auto"/>
              <w:rPr>
                <w:rFonts w:ascii="Calibri" w:hAnsi="Calibri"/>
                <w:sz w:val="22"/>
                <w:szCs w:val="22"/>
                <w:lang w:eastAsia="en-US"/>
              </w:rPr>
            </w:pPr>
          </w:p>
        </w:tc>
      </w:tr>
      <w:tr w:rsidR="005D2F29" w:rsidRPr="00391C26" w:rsidTr="005D2F29">
        <w:tc>
          <w:tcPr>
            <w:tcW w:w="2838"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r w:rsidRPr="00391C26">
              <w:rPr>
                <w:sz w:val="22"/>
                <w:szCs w:val="22"/>
                <w:lang w:eastAsia="en-US"/>
              </w:rPr>
              <w:t>ВСЕГО ПО ОБЛАСТИ</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2,4</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2,6</w:t>
            </w:r>
          </w:p>
        </w:tc>
        <w:tc>
          <w:tcPr>
            <w:tcW w:w="1679"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2,4</w:t>
            </w:r>
          </w:p>
        </w:tc>
        <w:tc>
          <w:tcPr>
            <w:tcW w:w="1305" w:type="dxa"/>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jc w:val="center"/>
              <w:rPr>
                <w:lang w:eastAsia="en-US"/>
              </w:rPr>
            </w:pPr>
            <w:r w:rsidRPr="00391C26">
              <w:rPr>
                <w:sz w:val="22"/>
                <w:szCs w:val="22"/>
                <w:lang w:eastAsia="en-US"/>
              </w:rPr>
              <w:t>*</w:t>
            </w:r>
          </w:p>
        </w:tc>
      </w:tr>
    </w:tbl>
    <w:p w:rsidR="005D2F29" w:rsidRDefault="005D2F29" w:rsidP="005D2F29">
      <w:r>
        <w:t>* - н</w:t>
      </w:r>
      <w:r w:rsidRPr="00391C26">
        <w:t>ерепрезентативность статистических величин</w:t>
      </w:r>
    </w:p>
    <w:p w:rsidR="005D2F29" w:rsidRPr="00924D67" w:rsidRDefault="005D2F29" w:rsidP="005D2F29">
      <w:pPr>
        <w:rPr>
          <w:sz w:val="16"/>
          <w:szCs w:val="16"/>
        </w:rPr>
      </w:pPr>
    </w:p>
    <w:p w:rsidR="005D2F29" w:rsidRPr="00391C26" w:rsidRDefault="005D2F29" w:rsidP="005D2F29">
      <w:pPr>
        <w:jc w:val="center"/>
        <w:rPr>
          <w:sz w:val="22"/>
          <w:szCs w:val="22"/>
        </w:rPr>
      </w:pPr>
      <w:bookmarkStart w:id="2" w:name="_MON_1642322698"/>
      <w:bookmarkEnd w:id="2"/>
      <w:r>
        <w:rPr>
          <w:noProof/>
        </w:rPr>
        <w:drawing>
          <wp:inline distT="0" distB="0" distL="0" distR="0">
            <wp:extent cx="5848350" cy="1874520"/>
            <wp:effectExtent l="19050" t="0" r="19050" b="0"/>
            <wp:docPr id="34"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D2F29" w:rsidRPr="00391C26" w:rsidRDefault="005D2F29" w:rsidP="005D2F29">
      <w:pPr>
        <w:jc w:val="center"/>
        <w:rPr>
          <w:sz w:val="22"/>
          <w:szCs w:val="22"/>
        </w:rPr>
      </w:pPr>
      <w:r w:rsidRPr="00391C26">
        <w:rPr>
          <w:sz w:val="22"/>
          <w:szCs w:val="22"/>
        </w:rPr>
        <w:t>Рис.№ 3 Удельный вес проб воды, не соответствующих гигиеническим нормативам, по микробиологическим   показателям по Нижегородской области за 2016-2019 гг.</w:t>
      </w:r>
    </w:p>
    <w:p w:rsidR="005D2F29" w:rsidRPr="00391C26" w:rsidRDefault="005D2F29" w:rsidP="005D2F29">
      <w:pPr>
        <w:rPr>
          <w:sz w:val="18"/>
          <w:szCs w:val="18"/>
        </w:rPr>
      </w:pPr>
    </w:p>
    <w:p w:rsidR="005D2F29" w:rsidRPr="00391C26" w:rsidRDefault="005D2F29" w:rsidP="005D2F29">
      <w:pPr>
        <w:pBdr>
          <w:top w:val="single" w:sz="6" w:space="1" w:color="FFFFFF"/>
          <w:left w:val="single" w:sz="6" w:space="4" w:color="FFFFFF"/>
          <w:bottom w:val="single" w:sz="6" w:space="2" w:color="FFFFFF"/>
          <w:right w:val="single" w:sz="6" w:space="4" w:color="FFFFFF"/>
        </w:pBdr>
        <w:jc w:val="center"/>
      </w:pPr>
      <w:r>
        <w:rPr>
          <w:noProof/>
        </w:rPr>
        <w:drawing>
          <wp:inline distT="0" distB="0" distL="0" distR="0">
            <wp:extent cx="5646420" cy="2133600"/>
            <wp:effectExtent l="19050" t="0" r="11430" b="0"/>
            <wp:docPr id="33"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D2F29" w:rsidRPr="00C13954" w:rsidRDefault="005D2F29" w:rsidP="005D2F29">
      <w:pPr>
        <w:jc w:val="center"/>
        <w:rPr>
          <w:lang w:val="en-US"/>
        </w:rPr>
      </w:pPr>
    </w:p>
    <w:p w:rsidR="005D2F29" w:rsidRPr="00391C26" w:rsidRDefault="005D2F29" w:rsidP="005D2F29">
      <w:pPr>
        <w:jc w:val="center"/>
        <w:rPr>
          <w:sz w:val="22"/>
          <w:szCs w:val="22"/>
        </w:rPr>
      </w:pPr>
      <w:r w:rsidRPr="00391C26">
        <w:rPr>
          <w:sz w:val="22"/>
          <w:szCs w:val="22"/>
        </w:rPr>
        <w:t>Рис. № 4 Удельный вес проб воды, не соответствующих гигиеническим нормативам, по санитарно-химическим  показателям по Нижегородской области за 2016-2019 гг.</w:t>
      </w:r>
    </w:p>
    <w:p w:rsidR="005D2F29" w:rsidRPr="00391C26" w:rsidRDefault="005D2F29" w:rsidP="005D2F29">
      <w:pPr>
        <w:jc w:val="center"/>
        <w:rPr>
          <w:sz w:val="22"/>
          <w:szCs w:val="22"/>
        </w:rPr>
      </w:pPr>
    </w:p>
    <w:p w:rsidR="005D2F29" w:rsidRPr="00391C26" w:rsidRDefault="005D2F29" w:rsidP="00924D67">
      <w:pPr>
        <w:ind w:firstLine="708"/>
        <w:jc w:val="both"/>
      </w:pPr>
      <w:r w:rsidRPr="00391C26">
        <w:t xml:space="preserve">Тенденция к снижению удельного веса проб питьевой воды, несоответствующих требованиям гигиенических нормативов по санитарно-химическим показателям </w:t>
      </w:r>
      <w:r w:rsidRPr="00391C26">
        <w:lastRenderedPageBreak/>
        <w:t>отмечается в Большеболдинском, Борском, Ветлужском, Воскресенском, Дальнеконтантиновском, Ковернинском, Карснобаковском, Павловском, Семеновском районах. В тоже время, превышение среднеобластного показателя в 1,1 – 4 раза отмечается в Балахнинском, Большемурашкинском, Вадском,  Вачском, Воротынском, Выксунском, Володарском, Гагинском, Дивеевском, Кулебакском, Навашинском, Первомайском Шахунском районах и г.Дзержинске.</w:t>
      </w:r>
    </w:p>
    <w:p w:rsidR="005D2F29" w:rsidRPr="00391C26" w:rsidRDefault="005D2F29" w:rsidP="007C07BB">
      <w:pPr>
        <w:ind w:firstLine="708"/>
        <w:jc w:val="both"/>
      </w:pPr>
      <w:r w:rsidRPr="00391C26">
        <w:t>Тенденция снижения удельного веса проб питьевой воды, несоответствующих требованиям гигиенических нормативов по микробиологическим  показателям отмечается в Ардатовском, Арзамасском, Богородском, Вадском, Ветлужском, Городецком, Дивеевском, Ковернинском, Кстовско</w:t>
      </w:r>
      <w:r w:rsidR="007C07BB">
        <w:t xml:space="preserve">м,  Павловском, Первомайском, </w:t>
      </w:r>
      <w:r w:rsidRPr="00391C26">
        <w:t>Сосновсокм, Спасском, Тоншаевском, Тонкинском, Уренском, шарангском, Шатковском районах. В тоже время, превышение среднеобластного показателя в 1,1 –7,4 раз отмечается в Бол</w:t>
      </w:r>
      <w:r w:rsidR="007C07BB">
        <w:t xml:space="preserve">ьшемурашкинском, Бутурлинском, </w:t>
      </w:r>
      <w:r w:rsidRPr="00391C26">
        <w:t>Ветлужском, Ворскресенском, Дальнеконстатиновском, Володарском, Краснобаковском, Навашинском, Перевозском, Семеновском, Сергачском, Шарангском, Сокольском районах.</w:t>
      </w:r>
    </w:p>
    <w:p w:rsidR="005D2F29" w:rsidRPr="00391C26" w:rsidRDefault="005D2F29" w:rsidP="007C07BB">
      <w:pPr>
        <w:ind w:firstLine="709"/>
        <w:jc w:val="both"/>
      </w:pPr>
      <w:r w:rsidRPr="00391C26">
        <w:t>По данным проведенного дополнительно</w:t>
      </w:r>
      <w:r w:rsidR="007C07BB">
        <w:t xml:space="preserve">го анализа основными причинами </w:t>
      </w:r>
      <w:r w:rsidRPr="00391C26">
        <w:t xml:space="preserve">ухудшения качества воды является отсутствие необходимых комплексов доочистки воды, не проведение организациями, эксплуатирующими системы водоснабжения, необходимого комплекса мероприятий (замены ветхих сетей, организации зон санитарной охраны источников и.т.д.), отсутствие или проведение в недостаточном объеме планово-профилактических работ (чистка, дезинфекция, промывка, в том числе по нестандартным </w:t>
      </w:r>
      <w:r w:rsidR="007C07BB">
        <w:t>результатам исследований воды).</w:t>
      </w:r>
    </w:p>
    <w:p w:rsidR="005D2F29" w:rsidRPr="00391C26" w:rsidRDefault="005D2F29" w:rsidP="007C07BB">
      <w:pPr>
        <w:ind w:firstLine="709"/>
        <w:jc w:val="both"/>
      </w:pPr>
      <w:r w:rsidRPr="00391C26">
        <w:t>Ежегодно отмечается ухудшение качества воды при транспортировке ее потребителю. Низкий удельный вес перекладываемых водопроводных сетей  и высокий удельный вес ветхих и аварийных сетей по области создает условия  для вторичного загрязнения питьевой воды, что не позволяет в полной мере  обеспечить ее соответствие требованиям действ</w:t>
      </w:r>
      <w:r w:rsidR="007C07BB">
        <w:t>ующих гигиенических нормативов.</w:t>
      </w:r>
    </w:p>
    <w:p w:rsidR="005D2F29" w:rsidRPr="00391C26" w:rsidRDefault="005D2F29" w:rsidP="007C07BB">
      <w:pPr>
        <w:ind w:firstLine="709"/>
        <w:jc w:val="both"/>
      </w:pPr>
      <w:r w:rsidRPr="00391C26">
        <w:t>В 2019 году удельный вес проб горячей воды, не соответствующих гигиеническим нормативам по санитарно-химическим показателям, составил 21,6 % 2018 год – 15,9%, 2017 год – 14,4%). По микробиологическим показателям удельный вес проб горячей воды¸ не соответствующий гигиеническим н</w:t>
      </w:r>
      <w:r w:rsidR="007C07BB">
        <w:t xml:space="preserve">ормативам в 2019 году составил </w:t>
      </w:r>
      <w:r w:rsidRPr="00391C26">
        <w:t>0,9% (201</w:t>
      </w:r>
      <w:r w:rsidR="007C07BB">
        <w:t>8 год – 1,3%, 2017 год – 1,1%).</w:t>
      </w:r>
    </w:p>
    <w:p w:rsidR="005D2F29" w:rsidRPr="00391C26" w:rsidRDefault="005D2F29" w:rsidP="007C07BB">
      <w:pPr>
        <w:ind w:firstLine="708"/>
        <w:jc w:val="both"/>
      </w:pPr>
      <w:r w:rsidRPr="00391C26">
        <w:t>Управление Роспотребнадзора по Нижегородской области активно работает по реализации требований Федерального закона от 07.12.2011 г. № 416-ФЗ «О вод</w:t>
      </w:r>
      <w:r w:rsidR="007C07BB">
        <w:t xml:space="preserve">оснабжении и водоотведении». В </w:t>
      </w:r>
      <w:r w:rsidRPr="00391C26">
        <w:t xml:space="preserve">Нижегородской области в установленном Федеральным законом  порядке определено 161 гарантирующая организация. Программы лабораторно-производственного контроля качества питьевой воды, подаваемой населению, согласованны с Управлением Роспотребнадзора по Нижегородской области  всеми гарантирующими организациями. По результатам федерального государственного санитарно-эпидемиологического надзора и производственного контроля качества питьевой воды в 2019 году в адрес гарантирующих организаций направлено 42 уведомления о несоответствии средних уровней показателей проб питьевой воды нормативам качества питьевой воды. За период реализации Федерального закона от 07.12.2011 г. № 416-ФЗ «О водоснабжении и водоотведении» Управлением согласовано 50 планов мероприятий по приведению качества питьевой воды в соответствие с установленными требованиями. Однако, инвестиционных программ по улучшению качества питьевой воды, подаваемой населению, в основу которых положены обозначенные планы мероприятий,  на территории Нижегородской </w:t>
      </w:r>
      <w:r w:rsidR="007C07BB">
        <w:t>области реализуется только 13.</w:t>
      </w:r>
    </w:p>
    <w:p w:rsidR="005D2F29" w:rsidRPr="00391C26" w:rsidRDefault="005D2F29" w:rsidP="007C07BB">
      <w:pPr>
        <w:ind w:firstLine="708"/>
        <w:jc w:val="both"/>
      </w:pPr>
      <w:r w:rsidRPr="00391C26">
        <w:t xml:space="preserve">Управлением Роспотребнадзора по Нижегородской области активно проводится работа с гарантирующими и ресурсоснабжающими организациями, органами местного самоуправления по проведению мероприятий, направленных на профилактику нарушений </w:t>
      </w:r>
      <w:r w:rsidRPr="00391C26">
        <w:lastRenderedPageBreak/>
        <w:t>обязательных требований в соответствии со ст.10 Федерального закона № 294-ФЗ от 26.12.2008 г. «О защите прав юридических лиц и индивидуальных предпринимателей при осуществлении государственного контроля (надзора) и муниципального контроля». Обязательные требования Федерального закона от 07.12.2011 г. № 416-ФЗ «О водоснабжении и водоотведении» размещены на сайте Управления Роспотребнадзора по Нижегородской области, направлены информационные письма, проводятся  семинары с руководителями гарантирующих и ресурсоснабжающих организаций. Совместно  с министерством жилищно-коммунального хозяйства и топливно-энергетического комплекса соответствующа</w:t>
      </w:r>
      <w:r w:rsidR="007C07BB">
        <w:t>я информация доодится  до ОМСУ.</w:t>
      </w:r>
    </w:p>
    <w:p w:rsidR="005D2F29" w:rsidRPr="00391C26" w:rsidRDefault="005D2F29" w:rsidP="007C07BB">
      <w:pPr>
        <w:ind w:firstLine="708"/>
        <w:jc w:val="both"/>
      </w:pPr>
      <w:r w:rsidRPr="00391C26">
        <w:t>В 2019 году продолжена активная совместная работа с министерством энергетики и жилищно-коммунального хозяйства Нижегородской области по реализации подпрограммы «Чистая вода» Государственной программы «Обеспечение населения Нижегородской области качественными услугами в сфере жилищно-коммунального хозяйства», утвержденной Постановлением Правительства Нижегородской области от 30.04.2014 г. № 305  (в рамках национального проекта «Экология»). В 2019 году начата реализация 3 мероприятий в рамках подпрограммы «Чистая вода» (строительство сетей водопровода для микрорайона «Солнечный» с.Хватовка Арзамасского района, водоснабжение с.Большое Устинское Шарангского района, реконструкция системы водоснабжения д.Большая Свеча г.о.г Шахунья).</w:t>
      </w:r>
    </w:p>
    <w:p w:rsidR="005D2F29" w:rsidRPr="00391C26" w:rsidRDefault="005D2F29" w:rsidP="007C07BB">
      <w:pPr>
        <w:ind w:firstLine="708"/>
        <w:jc w:val="both"/>
      </w:pPr>
      <w:r w:rsidRPr="00391C26">
        <w:t>В течение ряда лет сохраняется актуальность проблемы организации с</w:t>
      </w:r>
      <w:r w:rsidR="007C07BB">
        <w:t xml:space="preserve">ельского водоснабжения в связи </w:t>
      </w:r>
      <w:r w:rsidRPr="00391C26">
        <w:t xml:space="preserve">с имеющими место недостатками в эксплуатации колодцев, родников и скважин без разводящей сети. Нецентрализованными источниками водоснабжения пользуется 1,3% городского и 2,4%  сельского населения Нижегородской области. </w:t>
      </w:r>
    </w:p>
    <w:p w:rsidR="005D2F29" w:rsidRPr="00391C26" w:rsidRDefault="005D2F29" w:rsidP="007C07BB">
      <w:pPr>
        <w:ind w:firstLine="708"/>
        <w:jc w:val="both"/>
      </w:pPr>
      <w:r w:rsidRPr="00391C26">
        <w:t xml:space="preserve">Удельный вес нецентрализованных источников водоснабжения, не отвечающих санитарным требованиям в 2019 году составил 4,0% (2018 год - 6,2%, 2017 год – 5,7%), из них в сельских поселениях – 5,2% (2018 год - 7,8%, 2017 год – 6,6%). (Табл. №8, Рис. №5). </w:t>
      </w:r>
    </w:p>
    <w:p w:rsidR="005D2F29" w:rsidRPr="00391C26" w:rsidRDefault="005D2F29" w:rsidP="007C07BB">
      <w:pPr>
        <w:ind w:firstLine="708"/>
        <w:jc w:val="both"/>
      </w:pPr>
      <w:r w:rsidRPr="00391C26">
        <w:t>Следует отмет</w:t>
      </w:r>
      <w:r w:rsidR="007C07BB">
        <w:t xml:space="preserve">ить, что порядка половины проб </w:t>
      </w:r>
      <w:r w:rsidRPr="00391C26">
        <w:t>воды</w:t>
      </w:r>
      <w:r w:rsidR="007C07BB">
        <w:t xml:space="preserve"> нецентрализованных источников </w:t>
      </w:r>
      <w:r w:rsidRPr="00391C26">
        <w:t>не соответствует требованиям гигиенических нормативов по санитарно-химическим и микробиологическим показателям:</w:t>
      </w:r>
    </w:p>
    <w:p w:rsidR="005D2F29" w:rsidRPr="00391C26" w:rsidRDefault="005D2F29" w:rsidP="007C07BB">
      <w:pPr>
        <w:ind w:firstLine="709"/>
        <w:jc w:val="both"/>
      </w:pPr>
      <w:r w:rsidRPr="00391C26">
        <w:t>- удельный вес проб воды нецентрализованного водоснабжения, не соответствующих по гигиеническим нормативам по санитарно-химическим показателям по Нижегородской области составил 43,3 %;</w:t>
      </w:r>
    </w:p>
    <w:p w:rsidR="005D2F29" w:rsidRPr="00391C26" w:rsidRDefault="005D2F29" w:rsidP="007C07BB">
      <w:pPr>
        <w:ind w:firstLine="709"/>
        <w:jc w:val="both"/>
      </w:pPr>
      <w:r w:rsidRPr="00391C26">
        <w:t>- удельный вес проб воды нецентрализованного водоснабжения, не соответствующих по гигиеническим нормативам по микробиологическим показателям по Нижегородской области составил 42,4%.</w:t>
      </w:r>
    </w:p>
    <w:p w:rsidR="005D2F29" w:rsidRPr="007C07BB" w:rsidRDefault="005D2F29" w:rsidP="005D2F29">
      <w:pPr>
        <w:ind w:firstLine="709"/>
        <w:jc w:val="right"/>
        <w:rPr>
          <w:sz w:val="16"/>
          <w:szCs w:val="16"/>
        </w:rPr>
      </w:pPr>
    </w:p>
    <w:p w:rsidR="005D2F29" w:rsidRPr="00391C26" w:rsidRDefault="005D2F29" w:rsidP="005D2F29">
      <w:pPr>
        <w:ind w:firstLine="709"/>
        <w:jc w:val="right"/>
        <w:rPr>
          <w:sz w:val="22"/>
          <w:szCs w:val="22"/>
        </w:rPr>
      </w:pPr>
      <w:r w:rsidRPr="00391C26">
        <w:rPr>
          <w:sz w:val="22"/>
          <w:szCs w:val="22"/>
        </w:rPr>
        <w:t>Таблица №8</w:t>
      </w:r>
    </w:p>
    <w:p w:rsidR="005D2F29" w:rsidRPr="007C07BB" w:rsidRDefault="005D2F29" w:rsidP="005D2F29">
      <w:pPr>
        <w:ind w:firstLine="709"/>
        <w:jc w:val="right"/>
        <w:rPr>
          <w:sz w:val="16"/>
          <w:szCs w:val="16"/>
        </w:rPr>
      </w:pPr>
    </w:p>
    <w:p w:rsidR="005D2F29" w:rsidRPr="00391C26" w:rsidRDefault="005D2F29" w:rsidP="005D2F29">
      <w:pPr>
        <w:jc w:val="center"/>
        <w:rPr>
          <w:b/>
          <w:sz w:val="22"/>
          <w:szCs w:val="22"/>
        </w:rPr>
      </w:pPr>
      <w:r w:rsidRPr="00391C26">
        <w:rPr>
          <w:b/>
          <w:sz w:val="22"/>
          <w:szCs w:val="22"/>
        </w:rPr>
        <w:t>Качество воды нецентрализованных источников</w:t>
      </w:r>
    </w:p>
    <w:p w:rsidR="005D2F29" w:rsidRPr="007C07BB" w:rsidRDefault="005D2F29" w:rsidP="005D2F29">
      <w:pPr>
        <w:jc w:val="center"/>
        <w:rPr>
          <w:b/>
          <w:sz w:val="16"/>
          <w:szCs w:val="16"/>
        </w:rPr>
      </w:pPr>
    </w:p>
    <w:tbl>
      <w:tblPr>
        <w:tblW w:w="9195" w:type="dxa"/>
        <w:jc w:val="center"/>
        <w:tblLayout w:type="fixed"/>
        <w:tblLook w:val="01E0"/>
      </w:tblPr>
      <w:tblGrid>
        <w:gridCol w:w="5450"/>
        <w:gridCol w:w="850"/>
        <w:gridCol w:w="850"/>
        <w:gridCol w:w="851"/>
        <w:gridCol w:w="1194"/>
      </w:tblGrid>
      <w:tr w:rsidR="005D2F29" w:rsidRPr="00405D24" w:rsidTr="005D2F29">
        <w:trPr>
          <w:trHeight w:hRule="exact" w:val="851"/>
          <w:tblHeader/>
          <w:jc w:val="center"/>
        </w:trPr>
        <w:tc>
          <w:tcPr>
            <w:tcW w:w="54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Показатель</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2017 год</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2018 год</w:t>
            </w:r>
          </w:p>
        </w:tc>
        <w:tc>
          <w:tcPr>
            <w:tcW w:w="851"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2019 год</w:t>
            </w:r>
          </w:p>
        </w:tc>
        <w:tc>
          <w:tcPr>
            <w:tcW w:w="1194"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Темп прироста к  2017 году, %</w:t>
            </w:r>
          </w:p>
        </w:tc>
      </w:tr>
      <w:tr w:rsidR="005D2F29" w:rsidRPr="00405D24" w:rsidTr="005D2F29">
        <w:trPr>
          <w:trHeight w:hRule="exact" w:val="924"/>
          <w:tblHeader/>
          <w:jc w:val="center"/>
        </w:trPr>
        <w:tc>
          <w:tcPr>
            <w:tcW w:w="54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rPr>
                <w:sz w:val="22"/>
                <w:szCs w:val="22"/>
                <w:lang w:eastAsia="en-US"/>
              </w:rPr>
            </w:pPr>
            <w:r w:rsidRPr="00405D24">
              <w:rPr>
                <w:sz w:val="22"/>
                <w:szCs w:val="22"/>
                <w:lang w:eastAsia="en-US"/>
              </w:rPr>
              <w:t>1. Удельный вес проб воды не централизованного водоснабжения, не соответствующих санитарным  требованиям по санитарно-химическим показателям</w:t>
            </w:r>
            <w:r w:rsidRPr="00405D24">
              <w:rPr>
                <w:sz w:val="20"/>
                <w:szCs w:val="20"/>
                <w:lang w:eastAsia="en-US"/>
              </w:rPr>
              <w:t>, %</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38,4</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40</w:t>
            </w:r>
          </w:p>
        </w:tc>
        <w:tc>
          <w:tcPr>
            <w:tcW w:w="851"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43,3</w:t>
            </w:r>
          </w:p>
        </w:tc>
        <w:tc>
          <w:tcPr>
            <w:tcW w:w="1194"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12,7</w:t>
            </w:r>
          </w:p>
        </w:tc>
      </w:tr>
      <w:tr w:rsidR="005D2F29" w:rsidRPr="00405D24" w:rsidTr="005D2F29">
        <w:trPr>
          <w:trHeight w:hRule="exact" w:val="912"/>
          <w:tblHeader/>
          <w:jc w:val="center"/>
        </w:trPr>
        <w:tc>
          <w:tcPr>
            <w:tcW w:w="54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rPr>
                <w:sz w:val="22"/>
                <w:szCs w:val="22"/>
                <w:lang w:eastAsia="en-US"/>
              </w:rPr>
            </w:pPr>
            <w:r w:rsidRPr="00405D24">
              <w:rPr>
                <w:sz w:val="22"/>
                <w:szCs w:val="22"/>
                <w:lang w:eastAsia="en-US"/>
              </w:rPr>
              <w:t>2. Удельный вес проб воды не централизованного водоснабжения, не соответствующих санитарным  требованиям по микробиологическим показателям, %</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48,9</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36,7</w:t>
            </w:r>
          </w:p>
        </w:tc>
        <w:tc>
          <w:tcPr>
            <w:tcW w:w="851"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42,4</w:t>
            </w:r>
          </w:p>
        </w:tc>
        <w:tc>
          <w:tcPr>
            <w:tcW w:w="1194"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-24,0</w:t>
            </w:r>
          </w:p>
        </w:tc>
      </w:tr>
      <w:tr w:rsidR="005D2F29" w:rsidRPr="00405D24" w:rsidTr="005D2F29">
        <w:trPr>
          <w:trHeight w:hRule="exact" w:val="914"/>
          <w:tblHeader/>
          <w:jc w:val="center"/>
        </w:trPr>
        <w:tc>
          <w:tcPr>
            <w:tcW w:w="54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rPr>
                <w:sz w:val="22"/>
                <w:szCs w:val="22"/>
                <w:lang w:eastAsia="en-US"/>
              </w:rPr>
            </w:pPr>
            <w:r w:rsidRPr="00405D24">
              <w:rPr>
                <w:sz w:val="22"/>
                <w:szCs w:val="22"/>
                <w:lang w:eastAsia="en-US"/>
              </w:rPr>
              <w:lastRenderedPageBreak/>
              <w:t>3. Удельный вес  проб воды не централизованного водоснабжения, не соответствующих санитарным  требованиям по паразитологическим показателям, %</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0</w:t>
            </w:r>
          </w:p>
        </w:tc>
        <w:tc>
          <w:tcPr>
            <w:tcW w:w="1194"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w:t>
            </w:r>
          </w:p>
        </w:tc>
      </w:tr>
      <w:tr w:rsidR="005D2F29" w:rsidRPr="00405D24" w:rsidTr="005D2F29">
        <w:trPr>
          <w:trHeight w:hRule="exact" w:val="1134"/>
          <w:tblHeader/>
          <w:jc w:val="center"/>
        </w:trPr>
        <w:tc>
          <w:tcPr>
            <w:tcW w:w="54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rPr>
                <w:sz w:val="22"/>
                <w:szCs w:val="22"/>
                <w:lang w:eastAsia="en-US"/>
              </w:rPr>
            </w:pPr>
            <w:r w:rsidRPr="00405D24">
              <w:rPr>
                <w:sz w:val="22"/>
                <w:szCs w:val="22"/>
                <w:lang w:eastAsia="en-US"/>
              </w:rPr>
              <w:t>4. Удельный вес  проб воды нецентрализованного водоснабжения в сельских поселениях, не соответствующих санитарным требованиям по санитарно-химическим показателям, %</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35,1</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47,6</w:t>
            </w:r>
          </w:p>
        </w:tc>
        <w:tc>
          <w:tcPr>
            <w:tcW w:w="851"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45,7</w:t>
            </w:r>
          </w:p>
        </w:tc>
        <w:tc>
          <w:tcPr>
            <w:tcW w:w="1194"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30,1</w:t>
            </w:r>
          </w:p>
        </w:tc>
      </w:tr>
      <w:tr w:rsidR="005D2F29" w:rsidRPr="00405D24" w:rsidTr="005D2F29">
        <w:trPr>
          <w:trHeight w:hRule="exact" w:val="1134"/>
          <w:tblHeader/>
          <w:jc w:val="center"/>
        </w:trPr>
        <w:tc>
          <w:tcPr>
            <w:tcW w:w="54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rPr>
                <w:sz w:val="22"/>
                <w:szCs w:val="22"/>
                <w:lang w:eastAsia="en-US"/>
              </w:rPr>
            </w:pPr>
            <w:r w:rsidRPr="00405D24">
              <w:rPr>
                <w:sz w:val="22"/>
                <w:szCs w:val="22"/>
                <w:lang w:eastAsia="en-US"/>
              </w:rPr>
              <w:t>5. Удельный вес  проб воды нецентрализованного водоснабжения в сельских поселениях, не соответствующих санитарным требованиям по микробиологическим показателям, %</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56,3</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45,3</w:t>
            </w:r>
          </w:p>
        </w:tc>
        <w:tc>
          <w:tcPr>
            <w:tcW w:w="851"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51,1</w:t>
            </w:r>
          </w:p>
        </w:tc>
        <w:tc>
          <w:tcPr>
            <w:tcW w:w="1194"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-9,2</w:t>
            </w:r>
          </w:p>
        </w:tc>
      </w:tr>
      <w:tr w:rsidR="005D2F29" w:rsidRPr="00405D24" w:rsidTr="005D2F29">
        <w:trPr>
          <w:trHeight w:hRule="exact" w:val="1134"/>
          <w:tblHeader/>
          <w:jc w:val="center"/>
        </w:trPr>
        <w:tc>
          <w:tcPr>
            <w:tcW w:w="54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rPr>
                <w:sz w:val="22"/>
                <w:szCs w:val="22"/>
                <w:lang w:eastAsia="en-US"/>
              </w:rPr>
            </w:pPr>
            <w:r w:rsidRPr="00405D24">
              <w:rPr>
                <w:sz w:val="22"/>
                <w:szCs w:val="22"/>
                <w:lang w:eastAsia="en-US"/>
              </w:rPr>
              <w:t>6. Удельный вес  проб воды нецентрализованного водоснабжения в сельских поселениях, не соответствующих санитарным требованиям по паразитологическим показателям, %</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0</w:t>
            </w:r>
          </w:p>
        </w:tc>
        <w:tc>
          <w:tcPr>
            <w:tcW w:w="851"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0</w:t>
            </w:r>
          </w:p>
        </w:tc>
        <w:tc>
          <w:tcPr>
            <w:tcW w:w="1194"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spacing w:after="200" w:line="276" w:lineRule="auto"/>
              <w:jc w:val="center"/>
              <w:rPr>
                <w:sz w:val="22"/>
                <w:szCs w:val="22"/>
                <w:lang w:eastAsia="en-US"/>
              </w:rPr>
            </w:pPr>
            <w:r w:rsidRPr="00405D24">
              <w:rPr>
                <w:sz w:val="22"/>
                <w:szCs w:val="22"/>
                <w:lang w:eastAsia="en-US"/>
              </w:rPr>
              <w:t>*</w:t>
            </w:r>
          </w:p>
        </w:tc>
      </w:tr>
    </w:tbl>
    <w:p w:rsidR="005D2F29" w:rsidRPr="007C07BB" w:rsidRDefault="005D2F29" w:rsidP="005D2F29">
      <w:pPr>
        <w:rPr>
          <w:sz w:val="16"/>
          <w:szCs w:val="16"/>
          <w:lang w:eastAsia="en-US"/>
        </w:rPr>
      </w:pPr>
      <w:r w:rsidRPr="00391C26">
        <w:t xml:space="preserve"> </w:t>
      </w:r>
    </w:p>
    <w:p w:rsidR="005D2F29" w:rsidRDefault="005D2F29" w:rsidP="007C07BB">
      <w:pPr>
        <w:ind w:firstLine="708"/>
        <w:jc w:val="both"/>
        <w:rPr>
          <w:shd w:val="clear" w:color="auto" w:fill="FFFFFF"/>
        </w:rPr>
      </w:pPr>
      <w:r w:rsidRPr="00391C26">
        <w:t>Основной проблемой эксплуатации нецентрализованных водоисточников является отсутствие в должном объеме и с необходимой кратностью лабораторного контроля питьевой воды и плановых ремонтно-п</w:t>
      </w:r>
      <w:r w:rsidR="007C07BB">
        <w:t xml:space="preserve">рофилактических работ, которые </w:t>
      </w:r>
      <w:r w:rsidRPr="00391C26">
        <w:t xml:space="preserve">обязаны в соответствии с требованиями ст.14, 16 </w:t>
      </w:r>
      <w:r w:rsidRPr="00391C26">
        <w:rPr>
          <w:shd w:val="clear" w:color="auto" w:fill="FFFFFF"/>
        </w:rPr>
        <w:t>Федерального закона № 131-ФЗ от 06.10.2003 г. «Об общих принципах организации местного самоуправления в Российской Федерации» проводить сельские администрации и а</w:t>
      </w:r>
      <w:r>
        <w:rPr>
          <w:shd w:val="clear" w:color="auto" w:fill="FFFFFF"/>
        </w:rPr>
        <w:t>дминистрации городских округов.</w:t>
      </w:r>
    </w:p>
    <w:p w:rsidR="005D2F29" w:rsidRPr="007C07BB" w:rsidRDefault="005D2F29" w:rsidP="005D2F29">
      <w:pPr>
        <w:ind w:firstLine="708"/>
        <w:rPr>
          <w:sz w:val="16"/>
          <w:szCs w:val="16"/>
          <w:shd w:val="clear" w:color="auto" w:fill="FFFFFF"/>
        </w:rPr>
      </w:pPr>
    </w:p>
    <w:p w:rsidR="005D2F29" w:rsidRDefault="005D2F29" w:rsidP="005D2F29">
      <w:pPr>
        <w:rPr>
          <w:sz w:val="22"/>
          <w:szCs w:val="22"/>
          <w:lang w:val="en-US"/>
        </w:rPr>
      </w:pPr>
      <w:r>
        <w:rPr>
          <w:noProof/>
        </w:rPr>
        <w:drawing>
          <wp:inline distT="0" distB="0" distL="0" distR="0">
            <wp:extent cx="5791200" cy="2994660"/>
            <wp:effectExtent l="0" t="0" r="0" b="0"/>
            <wp:docPr id="32"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D2F29" w:rsidRPr="005F0252" w:rsidRDefault="005D2F29" w:rsidP="005D2F29">
      <w:pPr>
        <w:jc w:val="center"/>
        <w:rPr>
          <w:bCs/>
          <w:sz w:val="21"/>
          <w:szCs w:val="21"/>
        </w:rPr>
      </w:pPr>
      <w:r w:rsidRPr="005F0252">
        <w:rPr>
          <w:sz w:val="21"/>
          <w:szCs w:val="21"/>
        </w:rPr>
        <w:t xml:space="preserve">Рис.№5  Качество воды источников </w:t>
      </w:r>
      <w:r w:rsidRPr="005F0252">
        <w:rPr>
          <w:bCs/>
          <w:sz w:val="21"/>
          <w:szCs w:val="21"/>
        </w:rPr>
        <w:t>нецентрализованного водоснабжения по микробиологическим и санитарно-химическим показателям по Нижегородской области в 2016-2018 гг.</w:t>
      </w:r>
    </w:p>
    <w:p w:rsidR="005D2F29" w:rsidRPr="007C07BB" w:rsidRDefault="005D2F29" w:rsidP="005D2F29">
      <w:pPr>
        <w:ind w:firstLine="709"/>
        <w:jc w:val="center"/>
        <w:rPr>
          <w:bCs/>
          <w:sz w:val="16"/>
          <w:szCs w:val="16"/>
        </w:rPr>
      </w:pPr>
    </w:p>
    <w:p w:rsidR="005D2F29" w:rsidRPr="00391C26" w:rsidRDefault="005D2F29" w:rsidP="007C07BB">
      <w:pPr>
        <w:ind w:firstLine="708"/>
        <w:jc w:val="both"/>
      </w:pPr>
      <w:r w:rsidRPr="00391C26">
        <w:t>За выявленные нарушения требований санитарного законодательства  на объектах, осуществляющих деятельность по очистке и распределению воды Управлением принимаются меры административного воздействия.</w:t>
      </w:r>
      <w:r w:rsidR="007C07BB">
        <w:t xml:space="preserve">  В 2019  году  составлено 256 </w:t>
      </w:r>
      <w:r w:rsidRPr="00391C26">
        <w:t>протоколов об административных право</w:t>
      </w:r>
      <w:r w:rsidR="007C07BB">
        <w:t xml:space="preserve">нарушениях, наложено штрафов </w:t>
      </w:r>
      <w:r w:rsidRPr="00391C26">
        <w:t>на сумму 3 млн. 605,9 тыс.рублей. В мировой суд передано 32 дела по ст.19.5 ч.1. В суды общей юрисдикции направлено 4 иска об обязании исполнения требований санитарного законодательства. По материалам направленным в суд приостановлена эксплуатация 3 источников водоснабжения.</w:t>
      </w:r>
    </w:p>
    <w:p w:rsidR="005D2F29" w:rsidRPr="00391C26" w:rsidRDefault="005D2F29" w:rsidP="005D2F29">
      <w:pPr>
        <w:ind w:firstLine="708"/>
      </w:pPr>
    </w:p>
    <w:p w:rsidR="005D2F29" w:rsidRPr="00391C26" w:rsidRDefault="005D2F29" w:rsidP="005D2F29">
      <w:pPr>
        <w:pStyle w:val="063"/>
        <w:rPr>
          <w:szCs w:val="24"/>
        </w:rPr>
      </w:pPr>
      <w:r w:rsidRPr="00391C26">
        <w:rPr>
          <w:szCs w:val="24"/>
        </w:rPr>
        <w:lastRenderedPageBreak/>
        <w:t>Атмосферный воздух населённых мест</w:t>
      </w:r>
    </w:p>
    <w:p w:rsidR="005D2F29" w:rsidRPr="00391C26" w:rsidRDefault="005D2F29" w:rsidP="005D2F29">
      <w:pPr>
        <w:pStyle w:val="bodytext"/>
        <w:ind w:left="360" w:firstLine="0"/>
        <w:rPr>
          <w:b/>
          <w:szCs w:val="24"/>
          <w:u w:val="single"/>
        </w:rPr>
      </w:pPr>
    </w:p>
    <w:p w:rsidR="005D2F29" w:rsidRPr="00391C26" w:rsidRDefault="005D2F29" w:rsidP="005D2F29">
      <w:pPr>
        <w:pStyle w:val="af1"/>
        <w:rPr>
          <w:szCs w:val="24"/>
        </w:rPr>
      </w:pPr>
      <w:r w:rsidRPr="00391C26">
        <w:rPr>
          <w:szCs w:val="24"/>
        </w:rPr>
        <w:t>Одним из приоритетных факторов окружающей среды, характеризующим санитарно-эпидемиологическое благополучие населения является атмосферный воздух, качество которого определяется интенсивностью его загрязнения как стационарными источниками различных отраслей промышленности, так и передвижными источниками (транспорт).</w:t>
      </w:r>
    </w:p>
    <w:p w:rsidR="005D2F29" w:rsidRPr="00391C26" w:rsidRDefault="005D2F29" w:rsidP="005D2F29">
      <w:pPr>
        <w:pStyle w:val="af1"/>
        <w:rPr>
          <w:szCs w:val="24"/>
        </w:rPr>
      </w:pPr>
      <w:r w:rsidRPr="00391C26">
        <w:rPr>
          <w:szCs w:val="24"/>
        </w:rPr>
        <w:t xml:space="preserve">Лидирующее место по выбросу основных загрязняющих веществ в Нижегородской области занимают следующие отрасли промышленности: машиностроение и металлообработка, электроэнергетика, химическая и нефтехимическая промышленность, черная металлургия, производство строительных материалов, пищевая промышленность. </w:t>
      </w:r>
    </w:p>
    <w:p w:rsidR="005D2F29" w:rsidRPr="00391C26" w:rsidRDefault="005D2F29" w:rsidP="005D2F29">
      <w:pPr>
        <w:pStyle w:val="af1"/>
      </w:pPr>
      <w:r w:rsidRPr="00391C26">
        <w:t>В 2019 году количество проб с превышением ПДК в целом по области составило – 0,06% (20773 исследованных проб,  13 проб с превышением ПДК), в 2018 году количество проб с превышением ПДК было 0,08% (2087 ис</w:t>
      </w:r>
      <w:r w:rsidR="007C07BB">
        <w:t>следованных проб, 17 проб с превышением  ПДК).</w:t>
      </w:r>
    </w:p>
    <w:p w:rsidR="005D2F29" w:rsidRPr="00391C26" w:rsidRDefault="005D2F29" w:rsidP="005D2F29">
      <w:pPr>
        <w:ind w:firstLine="708"/>
      </w:pPr>
      <w:r w:rsidRPr="00391C26">
        <w:t>В городских поселениях доля проб с превышением ПДК в 2019 году составила 0,04 % (2018 год – 0,07%), в сельских поселениях – 0,19% (2018 год -0,13%).</w:t>
      </w:r>
    </w:p>
    <w:p w:rsidR="005D2F29" w:rsidRPr="007C07BB" w:rsidRDefault="005D2F29" w:rsidP="005D2F29">
      <w:pPr>
        <w:rPr>
          <w:sz w:val="16"/>
          <w:szCs w:val="16"/>
        </w:rPr>
      </w:pPr>
    </w:p>
    <w:p w:rsidR="005D2F29" w:rsidRPr="00F84ACB" w:rsidRDefault="005D2F29" w:rsidP="005D2F29">
      <w:pPr>
        <w:jc w:val="right"/>
      </w:pPr>
      <w:r w:rsidRPr="00405D24">
        <w:t>Таблица №9</w:t>
      </w:r>
    </w:p>
    <w:p w:rsidR="005D2F29" w:rsidRPr="007C07BB" w:rsidRDefault="005D2F29" w:rsidP="005D2F29">
      <w:pPr>
        <w:rPr>
          <w:sz w:val="16"/>
          <w:szCs w:val="16"/>
        </w:rPr>
      </w:pPr>
    </w:p>
    <w:p w:rsidR="005D2F29" w:rsidRPr="00405D24" w:rsidRDefault="005D2F29" w:rsidP="005D2F29">
      <w:pPr>
        <w:jc w:val="center"/>
        <w:rPr>
          <w:b/>
          <w:sz w:val="22"/>
          <w:szCs w:val="22"/>
        </w:rPr>
      </w:pPr>
      <w:r w:rsidRPr="00405D24">
        <w:rPr>
          <w:b/>
          <w:sz w:val="22"/>
          <w:szCs w:val="22"/>
        </w:rPr>
        <w:t xml:space="preserve">Доля проб атмосферного воздуха, превышающих ПДК в городских </w:t>
      </w:r>
    </w:p>
    <w:p w:rsidR="005D2F29" w:rsidRPr="00405D24" w:rsidRDefault="005D2F29" w:rsidP="005D2F29">
      <w:pPr>
        <w:jc w:val="center"/>
        <w:rPr>
          <w:b/>
          <w:sz w:val="22"/>
          <w:szCs w:val="22"/>
        </w:rPr>
      </w:pPr>
      <w:r w:rsidRPr="00405D24">
        <w:rPr>
          <w:b/>
          <w:sz w:val="22"/>
          <w:szCs w:val="22"/>
        </w:rPr>
        <w:t>и сельских поселениях.</w:t>
      </w:r>
    </w:p>
    <w:p w:rsidR="005D2F29" w:rsidRPr="007C07BB" w:rsidRDefault="005D2F29" w:rsidP="005D2F29">
      <w:pPr>
        <w:jc w:val="center"/>
        <w:rPr>
          <w:b/>
          <w:sz w:val="16"/>
          <w:szCs w:val="16"/>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80"/>
        <w:gridCol w:w="1260"/>
        <w:gridCol w:w="1260"/>
        <w:gridCol w:w="1080"/>
      </w:tblGrid>
      <w:tr w:rsidR="005D2F29" w:rsidRPr="00405D24" w:rsidTr="005D2F29">
        <w:tc>
          <w:tcPr>
            <w:tcW w:w="5580" w:type="dxa"/>
            <w:tcBorders>
              <w:top w:val="single" w:sz="4" w:space="0" w:color="auto"/>
              <w:left w:val="single" w:sz="4" w:space="0" w:color="auto"/>
              <w:bottom w:val="single" w:sz="4" w:space="0" w:color="auto"/>
              <w:right w:val="single" w:sz="4" w:space="0" w:color="auto"/>
            </w:tcBorders>
            <w:vAlign w:val="center"/>
          </w:tcPr>
          <w:p w:rsidR="005D2F29" w:rsidRDefault="005D2F29" w:rsidP="005D2F29">
            <w:pPr>
              <w:jc w:val="center"/>
              <w:rPr>
                <w:sz w:val="22"/>
                <w:szCs w:val="22"/>
                <w:lang w:eastAsia="en-US"/>
              </w:rPr>
            </w:pPr>
            <w:r w:rsidRPr="00405D24">
              <w:rPr>
                <w:sz w:val="22"/>
                <w:szCs w:val="22"/>
                <w:lang w:eastAsia="en-US"/>
              </w:rPr>
              <w:t>Показатели</w:t>
            </w:r>
          </w:p>
          <w:p w:rsidR="005D2F29" w:rsidRPr="00405D24" w:rsidRDefault="005D2F29" w:rsidP="005D2F29">
            <w:pPr>
              <w:jc w:val="center"/>
              <w:rPr>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jc w:val="center"/>
              <w:rPr>
                <w:sz w:val="22"/>
                <w:szCs w:val="22"/>
                <w:lang w:eastAsia="en-US"/>
              </w:rPr>
            </w:pPr>
            <w:r w:rsidRPr="00405D24">
              <w:rPr>
                <w:sz w:val="22"/>
                <w:szCs w:val="22"/>
                <w:lang w:eastAsia="en-US"/>
              </w:rPr>
              <w:t>2017г.</w:t>
            </w:r>
          </w:p>
        </w:tc>
        <w:tc>
          <w:tcPr>
            <w:tcW w:w="126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jc w:val="center"/>
              <w:rPr>
                <w:sz w:val="22"/>
                <w:szCs w:val="22"/>
                <w:lang w:eastAsia="en-US"/>
              </w:rPr>
            </w:pPr>
            <w:r w:rsidRPr="00405D24">
              <w:rPr>
                <w:sz w:val="22"/>
                <w:szCs w:val="22"/>
                <w:lang w:eastAsia="en-US"/>
              </w:rPr>
              <w:t>2018г.</w:t>
            </w:r>
          </w:p>
        </w:tc>
        <w:tc>
          <w:tcPr>
            <w:tcW w:w="1080" w:type="dxa"/>
            <w:tcBorders>
              <w:top w:val="single" w:sz="4" w:space="0" w:color="auto"/>
              <w:left w:val="single" w:sz="4" w:space="0" w:color="auto"/>
              <w:bottom w:val="single" w:sz="4" w:space="0" w:color="auto"/>
              <w:right w:val="single" w:sz="4" w:space="0" w:color="auto"/>
            </w:tcBorders>
            <w:vAlign w:val="center"/>
          </w:tcPr>
          <w:p w:rsidR="005D2F29" w:rsidRPr="00405D24" w:rsidRDefault="005D2F29" w:rsidP="005D2F29">
            <w:pPr>
              <w:jc w:val="center"/>
              <w:rPr>
                <w:sz w:val="22"/>
                <w:szCs w:val="22"/>
                <w:lang w:val="en-US" w:eastAsia="en-US"/>
              </w:rPr>
            </w:pPr>
            <w:r w:rsidRPr="00405D24">
              <w:rPr>
                <w:sz w:val="22"/>
                <w:szCs w:val="22"/>
                <w:lang w:eastAsia="en-US"/>
              </w:rPr>
              <w:t>201</w:t>
            </w:r>
            <w:r w:rsidRPr="00405D24">
              <w:rPr>
                <w:sz w:val="22"/>
                <w:szCs w:val="22"/>
                <w:lang w:val="en-US" w:eastAsia="en-US"/>
              </w:rPr>
              <w:t>9</w:t>
            </w:r>
          </w:p>
        </w:tc>
      </w:tr>
      <w:tr w:rsidR="005D2F29" w:rsidRPr="00405D24" w:rsidTr="005D2F29">
        <w:trPr>
          <w:trHeight w:val="589"/>
        </w:trPr>
        <w:tc>
          <w:tcPr>
            <w:tcW w:w="558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rPr>
                <w:sz w:val="22"/>
                <w:szCs w:val="22"/>
                <w:lang w:eastAsia="en-US"/>
              </w:rPr>
            </w:pPr>
            <w:r w:rsidRPr="00405D24">
              <w:rPr>
                <w:sz w:val="22"/>
                <w:szCs w:val="22"/>
                <w:lang w:eastAsia="en-US"/>
              </w:rPr>
              <w:t>Количество проб с превышением ПДК (в %) в целом по области (в городских и сельских поселениях)</w:t>
            </w:r>
          </w:p>
        </w:tc>
        <w:tc>
          <w:tcPr>
            <w:tcW w:w="126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jc w:val="center"/>
              <w:rPr>
                <w:sz w:val="22"/>
                <w:szCs w:val="22"/>
                <w:lang w:eastAsia="en-US"/>
              </w:rPr>
            </w:pPr>
            <w:r w:rsidRPr="00405D24">
              <w:rPr>
                <w:sz w:val="22"/>
                <w:szCs w:val="22"/>
                <w:lang w:eastAsia="en-US"/>
              </w:rPr>
              <w:t>0,04</w:t>
            </w:r>
          </w:p>
        </w:tc>
        <w:tc>
          <w:tcPr>
            <w:tcW w:w="126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jc w:val="center"/>
              <w:rPr>
                <w:sz w:val="22"/>
                <w:szCs w:val="22"/>
                <w:lang w:eastAsia="en-US"/>
              </w:rPr>
            </w:pPr>
            <w:r w:rsidRPr="00405D24">
              <w:rPr>
                <w:sz w:val="22"/>
                <w:szCs w:val="22"/>
                <w:lang w:eastAsia="en-US"/>
              </w:rPr>
              <w:t>0,08</w:t>
            </w:r>
          </w:p>
        </w:tc>
        <w:tc>
          <w:tcPr>
            <w:tcW w:w="108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jc w:val="center"/>
              <w:rPr>
                <w:sz w:val="22"/>
                <w:szCs w:val="22"/>
                <w:lang w:eastAsia="en-US"/>
              </w:rPr>
            </w:pPr>
            <w:r w:rsidRPr="00405D24">
              <w:rPr>
                <w:sz w:val="22"/>
                <w:szCs w:val="22"/>
                <w:lang w:eastAsia="en-US"/>
              </w:rPr>
              <w:t>0,06</w:t>
            </w:r>
          </w:p>
        </w:tc>
      </w:tr>
      <w:tr w:rsidR="005D2F29" w:rsidRPr="00405D24" w:rsidTr="005D2F29">
        <w:trPr>
          <w:trHeight w:val="569"/>
        </w:trPr>
        <w:tc>
          <w:tcPr>
            <w:tcW w:w="558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rPr>
                <w:sz w:val="22"/>
                <w:szCs w:val="22"/>
                <w:lang w:eastAsia="en-US"/>
              </w:rPr>
            </w:pPr>
            <w:r w:rsidRPr="00405D24">
              <w:rPr>
                <w:sz w:val="22"/>
                <w:szCs w:val="22"/>
                <w:lang w:eastAsia="en-US"/>
              </w:rPr>
              <w:t>Количество проб с превышением ПДК в городских поселениях (в %)</w:t>
            </w:r>
          </w:p>
        </w:tc>
        <w:tc>
          <w:tcPr>
            <w:tcW w:w="126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jc w:val="center"/>
              <w:rPr>
                <w:sz w:val="22"/>
                <w:szCs w:val="22"/>
                <w:lang w:eastAsia="en-US"/>
              </w:rPr>
            </w:pPr>
            <w:r w:rsidRPr="00405D24">
              <w:rPr>
                <w:sz w:val="22"/>
                <w:szCs w:val="22"/>
                <w:lang w:eastAsia="en-US"/>
              </w:rPr>
              <w:t>0,1</w:t>
            </w:r>
          </w:p>
        </w:tc>
        <w:tc>
          <w:tcPr>
            <w:tcW w:w="126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jc w:val="center"/>
              <w:rPr>
                <w:sz w:val="22"/>
                <w:szCs w:val="22"/>
                <w:lang w:eastAsia="en-US"/>
              </w:rPr>
            </w:pPr>
            <w:r w:rsidRPr="00405D24">
              <w:rPr>
                <w:sz w:val="22"/>
                <w:szCs w:val="22"/>
                <w:lang w:eastAsia="en-US"/>
              </w:rPr>
              <w:t>0,07</w:t>
            </w:r>
          </w:p>
        </w:tc>
        <w:tc>
          <w:tcPr>
            <w:tcW w:w="108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jc w:val="center"/>
              <w:rPr>
                <w:sz w:val="22"/>
                <w:szCs w:val="22"/>
                <w:lang w:eastAsia="en-US"/>
              </w:rPr>
            </w:pPr>
            <w:r w:rsidRPr="00405D24">
              <w:rPr>
                <w:sz w:val="22"/>
                <w:szCs w:val="22"/>
                <w:lang w:eastAsia="en-US"/>
              </w:rPr>
              <w:t>0,04</w:t>
            </w:r>
          </w:p>
        </w:tc>
      </w:tr>
      <w:tr w:rsidR="005D2F29" w:rsidRPr="00405D24" w:rsidTr="005D2F29">
        <w:trPr>
          <w:trHeight w:val="549"/>
        </w:trPr>
        <w:tc>
          <w:tcPr>
            <w:tcW w:w="558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rPr>
                <w:sz w:val="22"/>
                <w:szCs w:val="22"/>
                <w:lang w:eastAsia="en-US"/>
              </w:rPr>
            </w:pPr>
            <w:r w:rsidRPr="00405D24">
              <w:rPr>
                <w:sz w:val="22"/>
                <w:szCs w:val="22"/>
                <w:lang w:eastAsia="en-US"/>
              </w:rPr>
              <w:t>Количество проб с превышением ПДК в сельских поселениях (в %)</w:t>
            </w:r>
          </w:p>
        </w:tc>
        <w:tc>
          <w:tcPr>
            <w:tcW w:w="126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jc w:val="center"/>
              <w:rPr>
                <w:sz w:val="22"/>
                <w:szCs w:val="22"/>
                <w:lang w:eastAsia="en-US"/>
              </w:rPr>
            </w:pPr>
            <w:r w:rsidRPr="00405D24">
              <w:rPr>
                <w:sz w:val="22"/>
                <w:szCs w:val="22"/>
                <w:lang w:eastAsia="en-US"/>
              </w:rPr>
              <w:t>0,08</w:t>
            </w:r>
          </w:p>
        </w:tc>
        <w:tc>
          <w:tcPr>
            <w:tcW w:w="126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jc w:val="center"/>
              <w:rPr>
                <w:sz w:val="22"/>
                <w:szCs w:val="22"/>
                <w:lang w:eastAsia="en-US"/>
              </w:rPr>
            </w:pPr>
            <w:r w:rsidRPr="00405D24">
              <w:rPr>
                <w:sz w:val="22"/>
                <w:szCs w:val="22"/>
                <w:lang w:eastAsia="en-US"/>
              </w:rPr>
              <w:t>0,01</w:t>
            </w:r>
          </w:p>
        </w:tc>
        <w:tc>
          <w:tcPr>
            <w:tcW w:w="1080" w:type="dxa"/>
            <w:tcBorders>
              <w:top w:val="single" w:sz="4" w:space="0" w:color="auto"/>
              <w:left w:val="single" w:sz="4" w:space="0" w:color="auto"/>
              <w:bottom w:val="single" w:sz="4" w:space="0" w:color="auto"/>
              <w:right w:val="single" w:sz="4" w:space="0" w:color="auto"/>
            </w:tcBorders>
          </w:tcPr>
          <w:p w:rsidR="005D2F29" w:rsidRPr="00405D24" w:rsidRDefault="005D2F29" w:rsidP="005D2F29">
            <w:pPr>
              <w:jc w:val="center"/>
              <w:rPr>
                <w:sz w:val="22"/>
                <w:szCs w:val="22"/>
                <w:lang w:eastAsia="en-US"/>
              </w:rPr>
            </w:pPr>
            <w:r w:rsidRPr="00405D24">
              <w:rPr>
                <w:sz w:val="22"/>
                <w:szCs w:val="22"/>
                <w:lang w:eastAsia="en-US"/>
              </w:rPr>
              <w:t>0,19</w:t>
            </w:r>
          </w:p>
        </w:tc>
      </w:tr>
    </w:tbl>
    <w:p w:rsidR="005D2F29" w:rsidRPr="00391C26" w:rsidRDefault="005D2F29" w:rsidP="005D2F29"/>
    <w:p w:rsidR="005D2F29" w:rsidRPr="00391C26" w:rsidRDefault="005D2F29" w:rsidP="007C07BB">
      <w:pPr>
        <w:ind w:firstLine="708"/>
        <w:jc w:val="both"/>
      </w:pPr>
      <w:r w:rsidRPr="00391C26">
        <w:t>Динамика качества атмосферного воздуха в городских и сельских поселениях за 2017-2019 гг. представлена на диаграмме. (Рис. №8)</w:t>
      </w:r>
    </w:p>
    <w:p w:rsidR="005D2F29" w:rsidRPr="00391C26" w:rsidRDefault="005D2F29" w:rsidP="005D2F29"/>
    <w:p w:rsidR="005D2F29" w:rsidRPr="00391C26" w:rsidRDefault="005D2F29" w:rsidP="005D2F29">
      <w:pPr>
        <w:rPr>
          <w:highlight w:val="yellow"/>
        </w:rPr>
      </w:pPr>
      <w:r>
        <w:rPr>
          <w:noProof/>
        </w:rPr>
        <w:drawing>
          <wp:inline distT="0" distB="0" distL="0" distR="0">
            <wp:extent cx="5817870" cy="2598420"/>
            <wp:effectExtent l="19050" t="0" r="11430" b="0"/>
            <wp:docPr id="31"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D2F29" w:rsidRPr="00391C26" w:rsidRDefault="005D2F29" w:rsidP="005D2F29">
      <w:pPr>
        <w:jc w:val="center"/>
      </w:pPr>
      <w:r w:rsidRPr="00391C26">
        <w:t xml:space="preserve">Рис. № 8. Динамика качества атмосферного воздуха </w:t>
      </w:r>
    </w:p>
    <w:p w:rsidR="005D2F29" w:rsidRPr="00391C26" w:rsidRDefault="005D2F29" w:rsidP="005D2F29">
      <w:pPr>
        <w:jc w:val="center"/>
      </w:pPr>
      <w:r w:rsidRPr="00391C26">
        <w:t>в городских и сельских поселениях за 2017-2019гг.</w:t>
      </w:r>
    </w:p>
    <w:p w:rsidR="005D2F29" w:rsidRPr="00391C26" w:rsidRDefault="005D2F29" w:rsidP="005D2F29">
      <w:pPr>
        <w:ind w:left="360"/>
        <w:jc w:val="center"/>
        <w:rPr>
          <w:highlight w:val="green"/>
        </w:rPr>
      </w:pPr>
    </w:p>
    <w:p w:rsidR="005D2F29" w:rsidRPr="00391C26" w:rsidRDefault="005D2F29" w:rsidP="005D2F29">
      <w:pPr>
        <w:pStyle w:val="af1"/>
        <w:rPr>
          <w:szCs w:val="24"/>
        </w:rPr>
      </w:pPr>
      <w:r w:rsidRPr="00391C26">
        <w:rPr>
          <w:szCs w:val="24"/>
        </w:rPr>
        <w:lastRenderedPageBreak/>
        <w:t xml:space="preserve">Проб с превышением более 5 ПДК в 2017-2019 гг.  зарегистрировано не было. </w:t>
      </w:r>
    </w:p>
    <w:p w:rsidR="005D2F29" w:rsidRPr="00391C26" w:rsidRDefault="005D2F29" w:rsidP="005D2F29">
      <w:r w:rsidRPr="00391C26">
        <w:t>За последние 3 года наметилась тенденция к постепенному снижению количества проб с превышением ПДК.</w:t>
      </w:r>
    </w:p>
    <w:p w:rsidR="005D2F29" w:rsidRDefault="005D2F29" w:rsidP="005D2F29">
      <w:pPr>
        <w:jc w:val="right"/>
        <w:rPr>
          <w:sz w:val="22"/>
          <w:szCs w:val="22"/>
        </w:rPr>
      </w:pPr>
      <w:r w:rsidRPr="00A615E0">
        <w:rPr>
          <w:sz w:val="22"/>
          <w:szCs w:val="22"/>
        </w:rPr>
        <w:t>Таблица № 10</w:t>
      </w:r>
    </w:p>
    <w:p w:rsidR="005D2F29" w:rsidRPr="007C07BB" w:rsidRDefault="005D2F29" w:rsidP="005D2F29">
      <w:pPr>
        <w:jc w:val="right"/>
        <w:rPr>
          <w:i/>
          <w:sz w:val="16"/>
          <w:szCs w:val="16"/>
        </w:rPr>
      </w:pPr>
    </w:p>
    <w:p w:rsidR="005D2F29" w:rsidRDefault="005D2F29" w:rsidP="005D2F29">
      <w:pPr>
        <w:jc w:val="center"/>
        <w:rPr>
          <w:b/>
          <w:sz w:val="22"/>
          <w:szCs w:val="22"/>
        </w:rPr>
      </w:pPr>
      <w:r w:rsidRPr="00A615E0">
        <w:rPr>
          <w:b/>
          <w:sz w:val="22"/>
          <w:szCs w:val="22"/>
        </w:rPr>
        <w:t>Структура лабораторного контроля за уровнями загрязнения атмосферного воздуха населённых мест Нижегородской области в динамике за 2017-2019 годы</w:t>
      </w:r>
    </w:p>
    <w:p w:rsidR="005D2F29" w:rsidRPr="007C07BB" w:rsidRDefault="005D2F29" w:rsidP="005D2F29">
      <w:pPr>
        <w:pStyle w:val="11063"/>
        <w:rPr>
          <w:sz w:val="16"/>
          <w:szCs w:val="16"/>
          <w:highlight w:val="green"/>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846"/>
        <w:gridCol w:w="846"/>
        <w:gridCol w:w="847"/>
        <w:gridCol w:w="846"/>
        <w:gridCol w:w="847"/>
        <w:gridCol w:w="846"/>
        <w:gridCol w:w="847"/>
        <w:gridCol w:w="846"/>
        <w:gridCol w:w="795"/>
      </w:tblGrid>
      <w:tr w:rsidR="005D2F29" w:rsidRPr="00AD24E0" w:rsidTr="005D2F29">
        <w:trPr>
          <w:jc w:val="center"/>
        </w:trPr>
        <w:tc>
          <w:tcPr>
            <w:tcW w:w="1560" w:type="dxa"/>
            <w:vMerge w:val="restart"/>
            <w:tcBorders>
              <w:top w:val="single" w:sz="4" w:space="0" w:color="auto"/>
              <w:left w:val="single" w:sz="4" w:space="0" w:color="auto"/>
              <w:bottom w:val="single" w:sz="4" w:space="0" w:color="auto"/>
              <w:right w:val="single" w:sz="4" w:space="0" w:color="auto"/>
            </w:tcBorders>
          </w:tcPr>
          <w:p w:rsidR="005D2F29" w:rsidRPr="006606FE" w:rsidRDefault="005D2F29" w:rsidP="005D2F29">
            <w:pPr>
              <w:suppressAutoHyphens/>
              <w:spacing w:before="20" w:after="20"/>
              <w:ind w:left="57"/>
              <w:jc w:val="center"/>
              <w:rPr>
                <w:sz w:val="20"/>
                <w:szCs w:val="20"/>
                <w:lang w:eastAsia="en-US"/>
              </w:rPr>
            </w:pPr>
            <w:r w:rsidRPr="006606FE">
              <w:rPr>
                <w:sz w:val="20"/>
                <w:szCs w:val="20"/>
                <w:lang w:eastAsia="en-US"/>
              </w:rPr>
              <w:t>Точки отбора</w:t>
            </w:r>
          </w:p>
          <w:p w:rsidR="005D2F29" w:rsidRPr="006606FE" w:rsidRDefault="005D2F29" w:rsidP="005D2F29">
            <w:pPr>
              <w:suppressAutoHyphens/>
              <w:spacing w:before="20" w:after="20"/>
              <w:ind w:left="57"/>
              <w:jc w:val="center"/>
              <w:rPr>
                <w:sz w:val="20"/>
                <w:szCs w:val="20"/>
                <w:lang w:eastAsia="en-US"/>
              </w:rPr>
            </w:pPr>
          </w:p>
        </w:tc>
        <w:tc>
          <w:tcPr>
            <w:tcW w:w="2539" w:type="dxa"/>
            <w:gridSpan w:val="3"/>
            <w:tcBorders>
              <w:top w:val="single" w:sz="4" w:space="0" w:color="auto"/>
              <w:left w:val="single" w:sz="4" w:space="0" w:color="auto"/>
              <w:bottom w:val="single" w:sz="4" w:space="0" w:color="auto"/>
              <w:right w:val="single" w:sz="4" w:space="0" w:color="auto"/>
            </w:tcBorders>
          </w:tcPr>
          <w:p w:rsidR="005D2F29" w:rsidRPr="006606FE" w:rsidRDefault="005D2F29" w:rsidP="005D2F29">
            <w:pPr>
              <w:suppressAutoHyphens/>
              <w:spacing w:before="20" w:after="20"/>
              <w:ind w:left="57"/>
              <w:jc w:val="center"/>
              <w:rPr>
                <w:sz w:val="20"/>
                <w:szCs w:val="20"/>
                <w:lang w:eastAsia="en-US"/>
              </w:rPr>
            </w:pPr>
            <w:r w:rsidRPr="006606FE">
              <w:rPr>
                <w:sz w:val="20"/>
                <w:szCs w:val="20"/>
                <w:lang w:eastAsia="en-US"/>
              </w:rPr>
              <w:t>2017</w:t>
            </w:r>
          </w:p>
        </w:tc>
        <w:tc>
          <w:tcPr>
            <w:tcW w:w="2539" w:type="dxa"/>
            <w:gridSpan w:val="3"/>
            <w:tcBorders>
              <w:top w:val="single" w:sz="4" w:space="0" w:color="auto"/>
              <w:left w:val="single" w:sz="4" w:space="0" w:color="auto"/>
              <w:bottom w:val="single" w:sz="4" w:space="0" w:color="auto"/>
              <w:right w:val="single" w:sz="4" w:space="0" w:color="auto"/>
            </w:tcBorders>
          </w:tcPr>
          <w:p w:rsidR="005D2F29" w:rsidRPr="006606FE" w:rsidRDefault="005D2F29" w:rsidP="005D2F29">
            <w:pPr>
              <w:suppressAutoHyphens/>
              <w:spacing w:before="20" w:after="20"/>
              <w:ind w:left="57"/>
              <w:jc w:val="center"/>
              <w:rPr>
                <w:sz w:val="20"/>
                <w:szCs w:val="20"/>
                <w:lang w:eastAsia="en-US"/>
              </w:rPr>
            </w:pPr>
            <w:r w:rsidRPr="006606FE">
              <w:rPr>
                <w:sz w:val="20"/>
                <w:szCs w:val="20"/>
                <w:lang w:eastAsia="en-US"/>
              </w:rPr>
              <w:t>2018</w:t>
            </w:r>
          </w:p>
        </w:tc>
        <w:tc>
          <w:tcPr>
            <w:tcW w:w="2488" w:type="dxa"/>
            <w:gridSpan w:val="3"/>
            <w:tcBorders>
              <w:top w:val="single" w:sz="4" w:space="0" w:color="auto"/>
              <w:left w:val="single" w:sz="4" w:space="0" w:color="auto"/>
              <w:bottom w:val="single" w:sz="4" w:space="0" w:color="auto"/>
              <w:right w:val="single" w:sz="4" w:space="0" w:color="auto"/>
            </w:tcBorders>
          </w:tcPr>
          <w:p w:rsidR="005D2F29" w:rsidRPr="006606FE" w:rsidRDefault="005D2F29" w:rsidP="005D2F29">
            <w:pPr>
              <w:suppressAutoHyphens/>
              <w:spacing w:before="20" w:after="20"/>
              <w:ind w:left="57"/>
              <w:jc w:val="center"/>
              <w:rPr>
                <w:sz w:val="20"/>
                <w:szCs w:val="20"/>
                <w:highlight w:val="green"/>
                <w:lang w:eastAsia="en-US"/>
              </w:rPr>
            </w:pPr>
            <w:r w:rsidRPr="006606FE">
              <w:rPr>
                <w:sz w:val="20"/>
                <w:szCs w:val="20"/>
                <w:lang w:eastAsia="en-US"/>
              </w:rPr>
              <w:t>2019</w:t>
            </w:r>
          </w:p>
        </w:tc>
      </w:tr>
      <w:tr w:rsidR="005D2F29" w:rsidRPr="00AD24E0" w:rsidTr="005D2F29">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rsidR="005D2F29" w:rsidRPr="006606FE" w:rsidRDefault="005D2F29" w:rsidP="005D2F29">
            <w:pPr>
              <w:rPr>
                <w:sz w:val="20"/>
                <w:szCs w:val="20"/>
                <w:lang w:eastAsia="en-US"/>
              </w:rPr>
            </w:pPr>
          </w:p>
        </w:tc>
        <w:tc>
          <w:tcPr>
            <w:tcW w:w="846" w:type="dxa"/>
            <w:tcBorders>
              <w:top w:val="single" w:sz="4" w:space="0" w:color="auto"/>
              <w:left w:val="single" w:sz="4" w:space="0" w:color="auto"/>
              <w:bottom w:val="single" w:sz="4" w:space="0" w:color="auto"/>
              <w:right w:val="single" w:sz="4" w:space="0" w:color="auto"/>
            </w:tcBorders>
          </w:tcPr>
          <w:p w:rsidR="005D2F29" w:rsidRPr="006606FE" w:rsidRDefault="005D2F29" w:rsidP="007C07BB">
            <w:pPr>
              <w:suppressAutoHyphens/>
              <w:spacing w:before="20" w:after="20"/>
              <w:ind w:left="-81" w:right="-140"/>
              <w:jc w:val="center"/>
              <w:rPr>
                <w:sz w:val="20"/>
                <w:szCs w:val="20"/>
                <w:lang w:eastAsia="en-US"/>
              </w:rPr>
            </w:pPr>
            <w:r w:rsidRPr="006606FE">
              <w:rPr>
                <w:sz w:val="20"/>
                <w:szCs w:val="20"/>
                <w:lang w:eastAsia="en-US"/>
              </w:rPr>
              <w:t>Количесто проб</w:t>
            </w:r>
          </w:p>
        </w:tc>
        <w:tc>
          <w:tcPr>
            <w:tcW w:w="846" w:type="dxa"/>
            <w:tcBorders>
              <w:top w:val="single" w:sz="4" w:space="0" w:color="auto"/>
              <w:left w:val="single" w:sz="4" w:space="0" w:color="auto"/>
              <w:bottom w:val="single" w:sz="4" w:space="0" w:color="auto"/>
              <w:right w:val="single" w:sz="4" w:space="0" w:color="auto"/>
            </w:tcBorders>
          </w:tcPr>
          <w:p w:rsidR="005D2F29" w:rsidRPr="006606FE" w:rsidRDefault="005D2F29" w:rsidP="007C07BB">
            <w:pPr>
              <w:suppressAutoHyphens/>
              <w:spacing w:before="20" w:after="20"/>
              <w:ind w:left="-81" w:right="-140"/>
              <w:jc w:val="center"/>
              <w:rPr>
                <w:sz w:val="20"/>
                <w:szCs w:val="20"/>
                <w:lang w:eastAsia="en-US"/>
              </w:rPr>
            </w:pPr>
            <w:r w:rsidRPr="006606FE">
              <w:rPr>
                <w:sz w:val="20"/>
                <w:szCs w:val="20"/>
                <w:lang w:eastAsia="en-US"/>
              </w:rPr>
              <w:t>Процент от всех проб</w:t>
            </w:r>
          </w:p>
        </w:tc>
        <w:tc>
          <w:tcPr>
            <w:tcW w:w="847" w:type="dxa"/>
            <w:tcBorders>
              <w:top w:val="single" w:sz="4" w:space="0" w:color="auto"/>
              <w:left w:val="single" w:sz="4" w:space="0" w:color="auto"/>
              <w:bottom w:val="single" w:sz="4" w:space="0" w:color="auto"/>
              <w:right w:val="single" w:sz="4" w:space="0" w:color="auto"/>
            </w:tcBorders>
          </w:tcPr>
          <w:p w:rsidR="005D2F29" w:rsidRPr="006606FE" w:rsidRDefault="005D2F29" w:rsidP="007C07BB">
            <w:pPr>
              <w:suppressAutoHyphens/>
              <w:spacing w:before="20" w:after="20"/>
              <w:ind w:left="-81" w:right="-140"/>
              <w:rPr>
                <w:sz w:val="20"/>
                <w:szCs w:val="20"/>
                <w:lang w:eastAsia="en-US"/>
              </w:rPr>
            </w:pPr>
            <w:r w:rsidRPr="006606FE">
              <w:rPr>
                <w:sz w:val="20"/>
                <w:szCs w:val="20"/>
                <w:lang w:eastAsia="en-US"/>
              </w:rPr>
              <w:t>с превышением ПДК (в%)</w:t>
            </w:r>
          </w:p>
        </w:tc>
        <w:tc>
          <w:tcPr>
            <w:tcW w:w="846" w:type="dxa"/>
            <w:tcBorders>
              <w:top w:val="single" w:sz="4" w:space="0" w:color="auto"/>
              <w:left w:val="single" w:sz="4" w:space="0" w:color="auto"/>
              <w:bottom w:val="single" w:sz="4" w:space="0" w:color="auto"/>
              <w:right w:val="single" w:sz="4" w:space="0" w:color="auto"/>
            </w:tcBorders>
          </w:tcPr>
          <w:p w:rsidR="005D2F29" w:rsidRPr="006606FE" w:rsidRDefault="005D2F29" w:rsidP="007C07BB">
            <w:pPr>
              <w:suppressAutoHyphens/>
              <w:spacing w:before="20" w:after="20"/>
              <w:ind w:left="-81" w:right="-140"/>
              <w:jc w:val="center"/>
              <w:rPr>
                <w:sz w:val="20"/>
                <w:szCs w:val="20"/>
                <w:lang w:eastAsia="en-US"/>
              </w:rPr>
            </w:pPr>
            <w:r w:rsidRPr="006606FE">
              <w:rPr>
                <w:sz w:val="20"/>
                <w:szCs w:val="20"/>
                <w:lang w:eastAsia="en-US"/>
              </w:rPr>
              <w:t>Количесто проб</w:t>
            </w:r>
          </w:p>
        </w:tc>
        <w:tc>
          <w:tcPr>
            <w:tcW w:w="847" w:type="dxa"/>
            <w:tcBorders>
              <w:top w:val="single" w:sz="4" w:space="0" w:color="auto"/>
              <w:left w:val="single" w:sz="4" w:space="0" w:color="auto"/>
              <w:bottom w:val="single" w:sz="4" w:space="0" w:color="auto"/>
              <w:right w:val="single" w:sz="4" w:space="0" w:color="auto"/>
            </w:tcBorders>
          </w:tcPr>
          <w:p w:rsidR="005D2F29" w:rsidRPr="006606FE" w:rsidRDefault="005D2F29" w:rsidP="007C07BB">
            <w:pPr>
              <w:suppressAutoHyphens/>
              <w:spacing w:before="20" w:after="20"/>
              <w:ind w:left="-81" w:right="-140"/>
              <w:jc w:val="center"/>
              <w:rPr>
                <w:sz w:val="20"/>
                <w:szCs w:val="20"/>
                <w:lang w:eastAsia="en-US"/>
              </w:rPr>
            </w:pPr>
            <w:r w:rsidRPr="006606FE">
              <w:rPr>
                <w:sz w:val="20"/>
                <w:szCs w:val="20"/>
                <w:lang w:eastAsia="en-US"/>
              </w:rPr>
              <w:t>Процент от всех проб</w:t>
            </w:r>
          </w:p>
        </w:tc>
        <w:tc>
          <w:tcPr>
            <w:tcW w:w="846" w:type="dxa"/>
            <w:tcBorders>
              <w:top w:val="single" w:sz="4" w:space="0" w:color="auto"/>
              <w:left w:val="single" w:sz="4" w:space="0" w:color="auto"/>
              <w:bottom w:val="single" w:sz="4" w:space="0" w:color="auto"/>
              <w:right w:val="single" w:sz="4" w:space="0" w:color="auto"/>
            </w:tcBorders>
          </w:tcPr>
          <w:p w:rsidR="005D2F29" w:rsidRPr="006606FE" w:rsidRDefault="005D2F29" w:rsidP="007C07BB">
            <w:pPr>
              <w:suppressAutoHyphens/>
              <w:spacing w:before="20" w:after="20"/>
              <w:ind w:left="-81" w:right="-140"/>
              <w:rPr>
                <w:sz w:val="20"/>
                <w:szCs w:val="20"/>
                <w:lang w:eastAsia="en-US"/>
              </w:rPr>
            </w:pPr>
            <w:r w:rsidRPr="006606FE">
              <w:rPr>
                <w:sz w:val="20"/>
                <w:szCs w:val="20"/>
                <w:lang w:eastAsia="en-US"/>
              </w:rPr>
              <w:t>с превышением ПДК (в%)</w:t>
            </w:r>
          </w:p>
        </w:tc>
        <w:tc>
          <w:tcPr>
            <w:tcW w:w="847" w:type="dxa"/>
            <w:tcBorders>
              <w:top w:val="single" w:sz="4" w:space="0" w:color="auto"/>
              <w:left w:val="single" w:sz="4" w:space="0" w:color="auto"/>
              <w:bottom w:val="single" w:sz="4" w:space="0" w:color="auto"/>
              <w:right w:val="single" w:sz="4" w:space="0" w:color="auto"/>
            </w:tcBorders>
          </w:tcPr>
          <w:p w:rsidR="005D2F29" w:rsidRPr="006606FE" w:rsidRDefault="005D2F29" w:rsidP="007C07BB">
            <w:pPr>
              <w:suppressAutoHyphens/>
              <w:spacing w:before="20" w:after="20"/>
              <w:ind w:left="-81" w:right="-140"/>
              <w:jc w:val="center"/>
              <w:rPr>
                <w:sz w:val="20"/>
                <w:szCs w:val="20"/>
                <w:lang w:eastAsia="en-US"/>
              </w:rPr>
            </w:pPr>
            <w:r w:rsidRPr="006606FE">
              <w:rPr>
                <w:sz w:val="20"/>
                <w:szCs w:val="20"/>
                <w:lang w:eastAsia="en-US"/>
              </w:rPr>
              <w:t>Количесто проб</w:t>
            </w:r>
          </w:p>
        </w:tc>
        <w:tc>
          <w:tcPr>
            <w:tcW w:w="846" w:type="dxa"/>
            <w:tcBorders>
              <w:top w:val="single" w:sz="4" w:space="0" w:color="auto"/>
              <w:left w:val="single" w:sz="4" w:space="0" w:color="auto"/>
              <w:bottom w:val="single" w:sz="4" w:space="0" w:color="auto"/>
              <w:right w:val="single" w:sz="4" w:space="0" w:color="auto"/>
            </w:tcBorders>
          </w:tcPr>
          <w:p w:rsidR="005D2F29" w:rsidRPr="006606FE" w:rsidRDefault="005D2F29" w:rsidP="007C07BB">
            <w:pPr>
              <w:suppressAutoHyphens/>
              <w:spacing w:before="20" w:after="20"/>
              <w:ind w:left="-81" w:right="-140"/>
              <w:jc w:val="center"/>
              <w:rPr>
                <w:sz w:val="20"/>
                <w:szCs w:val="20"/>
                <w:lang w:eastAsia="en-US"/>
              </w:rPr>
            </w:pPr>
            <w:r w:rsidRPr="006606FE">
              <w:rPr>
                <w:sz w:val="20"/>
                <w:szCs w:val="20"/>
                <w:lang w:eastAsia="en-US"/>
              </w:rPr>
              <w:t>Процент от всех проб</w:t>
            </w:r>
          </w:p>
        </w:tc>
        <w:tc>
          <w:tcPr>
            <w:tcW w:w="795" w:type="dxa"/>
            <w:tcBorders>
              <w:top w:val="single" w:sz="4" w:space="0" w:color="auto"/>
              <w:left w:val="single" w:sz="4" w:space="0" w:color="auto"/>
              <w:bottom w:val="single" w:sz="4" w:space="0" w:color="auto"/>
              <w:right w:val="single" w:sz="4" w:space="0" w:color="auto"/>
            </w:tcBorders>
          </w:tcPr>
          <w:p w:rsidR="005D2F29" w:rsidRPr="006606FE" w:rsidRDefault="005D2F29" w:rsidP="007C07BB">
            <w:pPr>
              <w:suppressAutoHyphens/>
              <w:spacing w:before="20" w:after="20"/>
              <w:ind w:left="-81" w:right="-140"/>
              <w:rPr>
                <w:sz w:val="20"/>
                <w:szCs w:val="20"/>
                <w:lang w:eastAsia="en-US"/>
              </w:rPr>
            </w:pPr>
            <w:r w:rsidRPr="006606FE">
              <w:rPr>
                <w:sz w:val="20"/>
                <w:szCs w:val="20"/>
                <w:lang w:eastAsia="en-US"/>
              </w:rPr>
              <w:t>с превышением ПДК (в%)</w:t>
            </w:r>
          </w:p>
        </w:tc>
      </w:tr>
      <w:tr w:rsidR="005D2F29" w:rsidRPr="00AD24E0" w:rsidTr="005D2F29">
        <w:trPr>
          <w:jc w:val="center"/>
        </w:trPr>
        <w:tc>
          <w:tcPr>
            <w:tcW w:w="1560"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Pr>
                <w:sz w:val="21"/>
                <w:szCs w:val="21"/>
                <w:lang w:eastAsia="en-US"/>
              </w:rPr>
            </w:pPr>
            <w:r w:rsidRPr="00AD24E0">
              <w:rPr>
                <w:sz w:val="21"/>
                <w:szCs w:val="21"/>
                <w:lang w:eastAsia="en-US"/>
              </w:rPr>
              <w:t xml:space="preserve">Всего исследований </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19859</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100</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0,06</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20867</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100</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0,08</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20773</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100</w:t>
            </w:r>
          </w:p>
        </w:tc>
        <w:tc>
          <w:tcPr>
            <w:tcW w:w="795"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0,06</w:t>
            </w:r>
          </w:p>
        </w:tc>
      </w:tr>
      <w:tr w:rsidR="005D2F29" w:rsidRPr="00AD24E0" w:rsidTr="005D2F29">
        <w:trPr>
          <w:jc w:val="center"/>
        </w:trPr>
        <w:tc>
          <w:tcPr>
            <w:tcW w:w="1560"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Pr>
                <w:sz w:val="21"/>
                <w:szCs w:val="21"/>
                <w:lang w:eastAsia="en-US"/>
              </w:rPr>
            </w:pPr>
            <w:r w:rsidRPr="00AD24E0">
              <w:rPr>
                <w:sz w:val="21"/>
                <w:szCs w:val="21"/>
                <w:lang w:eastAsia="en-US"/>
              </w:rPr>
              <w:t>В городах, в т.ч.:</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highlight w:val="green"/>
                <w:lang w:eastAsia="en-US"/>
              </w:rPr>
            </w:pPr>
            <w:r w:rsidRPr="00AD24E0">
              <w:rPr>
                <w:sz w:val="22"/>
                <w:szCs w:val="22"/>
                <w:lang w:eastAsia="en-US"/>
              </w:rPr>
              <w:t>18684</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highlight w:val="green"/>
                <w:lang w:eastAsia="en-US"/>
              </w:rPr>
            </w:pPr>
            <w:r w:rsidRPr="00AD24E0">
              <w:rPr>
                <w:sz w:val="22"/>
                <w:szCs w:val="22"/>
                <w:lang w:eastAsia="en-US"/>
              </w:rPr>
              <w:t>94,08</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0,15</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18542</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88,9</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0,076</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18106</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87,16</w:t>
            </w:r>
          </w:p>
        </w:tc>
        <w:tc>
          <w:tcPr>
            <w:tcW w:w="795"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0,04</w:t>
            </w:r>
          </w:p>
        </w:tc>
      </w:tr>
      <w:tr w:rsidR="005D2F29" w:rsidRPr="00AD24E0" w:rsidTr="005D2F29">
        <w:trPr>
          <w:jc w:val="center"/>
        </w:trPr>
        <w:tc>
          <w:tcPr>
            <w:tcW w:w="1560"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pacing w:before="20" w:after="20"/>
              <w:ind w:left="57"/>
              <w:rPr>
                <w:sz w:val="21"/>
                <w:szCs w:val="21"/>
                <w:lang w:eastAsia="en-US"/>
              </w:rPr>
            </w:pPr>
            <w:r w:rsidRPr="00AD24E0">
              <w:rPr>
                <w:sz w:val="21"/>
                <w:szCs w:val="21"/>
                <w:lang w:eastAsia="en-US"/>
              </w:rPr>
              <w:t>- маршрут</w:t>
            </w:r>
          </w:p>
          <w:p w:rsidR="005D2F29" w:rsidRPr="00AD24E0" w:rsidRDefault="005D2F29" w:rsidP="005D2F29">
            <w:pPr>
              <w:suppressAutoHyphens/>
              <w:spacing w:before="20" w:after="20"/>
              <w:ind w:left="57"/>
              <w:rPr>
                <w:sz w:val="21"/>
                <w:szCs w:val="21"/>
                <w:lang w:eastAsia="en-US"/>
              </w:rPr>
            </w:pPr>
            <w:r w:rsidRPr="00AD24E0">
              <w:rPr>
                <w:sz w:val="21"/>
                <w:szCs w:val="21"/>
                <w:lang w:eastAsia="en-US"/>
              </w:rPr>
              <w:t>ные и подфакельные исследования</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11946</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60,15</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0,13</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12325</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66,5</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6,097</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13414</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64,57</w:t>
            </w:r>
          </w:p>
        </w:tc>
        <w:tc>
          <w:tcPr>
            <w:tcW w:w="795"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0,03</w:t>
            </w:r>
          </w:p>
        </w:tc>
      </w:tr>
      <w:tr w:rsidR="005D2F29" w:rsidRPr="00AD24E0" w:rsidTr="005D2F29">
        <w:trPr>
          <w:jc w:val="center"/>
        </w:trPr>
        <w:tc>
          <w:tcPr>
            <w:tcW w:w="1560"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Pr>
                <w:sz w:val="21"/>
                <w:szCs w:val="21"/>
                <w:lang w:eastAsia="en-US"/>
              </w:rPr>
            </w:pPr>
            <w:r w:rsidRPr="00AD24E0">
              <w:rPr>
                <w:sz w:val="21"/>
                <w:szCs w:val="21"/>
                <w:lang w:eastAsia="en-US"/>
              </w:rPr>
              <w:t>- вблизи автомагистралей в зоне жилой застройки</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6738</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33,9</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0,16</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6217</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33,5</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0,032</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4692</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2,34</w:t>
            </w:r>
          </w:p>
        </w:tc>
        <w:tc>
          <w:tcPr>
            <w:tcW w:w="795"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0,09</w:t>
            </w:r>
          </w:p>
        </w:tc>
      </w:tr>
      <w:tr w:rsidR="005D2F29" w:rsidRPr="00AD24E0" w:rsidTr="005D2F29">
        <w:trPr>
          <w:jc w:val="center"/>
        </w:trPr>
        <w:tc>
          <w:tcPr>
            <w:tcW w:w="1560"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Pr>
                <w:sz w:val="21"/>
                <w:szCs w:val="21"/>
                <w:lang w:eastAsia="en-US"/>
              </w:rPr>
            </w:pPr>
            <w:r w:rsidRPr="00AD24E0">
              <w:rPr>
                <w:sz w:val="21"/>
                <w:szCs w:val="21"/>
                <w:lang w:eastAsia="en-US"/>
              </w:rPr>
              <w:t>В сельских поселениях</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1175</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5,9</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highlight w:val="green"/>
                <w:lang w:eastAsia="en-US"/>
              </w:rPr>
            </w:pPr>
            <w:r w:rsidRPr="00AD24E0">
              <w:rPr>
                <w:sz w:val="22"/>
                <w:szCs w:val="22"/>
                <w:lang w:eastAsia="en-US"/>
              </w:rPr>
              <w:t>0,1</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2325</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11,1</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highlight w:val="green"/>
                <w:lang w:eastAsia="en-US"/>
              </w:rPr>
            </w:pPr>
            <w:r w:rsidRPr="00AD24E0">
              <w:rPr>
                <w:sz w:val="22"/>
                <w:szCs w:val="22"/>
                <w:lang w:eastAsia="en-US"/>
              </w:rPr>
              <w:t>0,129</w:t>
            </w:r>
          </w:p>
        </w:tc>
        <w:tc>
          <w:tcPr>
            <w:tcW w:w="847"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2667</w:t>
            </w:r>
          </w:p>
        </w:tc>
        <w:tc>
          <w:tcPr>
            <w:tcW w:w="846"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lang w:eastAsia="en-US"/>
              </w:rPr>
            </w:pPr>
            <w:r w:rsidRPr="00AD24E0">
              <w:rPr>
                <w:sz w:val="22"/>
                <w:szCs w:val="22"/>
                <w:lang w:eastAsia="en-US"/>
              </w:rPr>
              <w:t>12,84</w:t>
            </w:r>
          </w:p>
        </w:tc>
        <w:tc>
          <w:tcPr>
            <w:tcW w:w="795" w:type="dxa"/>
            <w:tcBorders>
              <w:top w:val="single" w:sz="4" w:space="0" w:color="auto"/>
              <w:left w:val="single" w:sz="4" w:space="0" w:color="auto"/>
              <w:bottom w:val="single" w:sz="4" w:space="0" w:color="auto"/>
              <w:right w:val="single" w:sz="4" w:space="0" w:color="auto"/>
            </w:tcBorders>
          </w:tcPr>
          <w:p w:rsidR="005D2F29" w:rsidRPr="00AD24E0" w:rsidRDefault="005D2F29" w:rsidP="005D2F29">
            <w:pPr>
              <w:suppressAutoHyphens/>
              <w:spacing w:before="20" w:after="20"/>
              <w:ind w:left="-57" w:right="-57"/>
              <w:jc w:val="center"/>
              <w:rPr>
                <w:sz w:val="22"/>
                <w:szCs w:val="22"/>
                <w:highlight w:val="green"/>
                <w:lang w:eastAsia="en-US"/>
              </w:rPr>
            </w:pPr>
            <w:r w:rsidRPr="00AD24E0">
              <w:rPr>
                <w:sz w:val="22"/>
                <w:szCs w:val="22"/>
                <w:lang w:eastAsia="en-US"/>
              </w:rPr>
              <w:t>0,18</w:t>
            </w:r>
          </w:p>
        </w:tc>
      </w:tr>
    </w:tbl>
    <w:p w:rsidR="005D2F29" w:rsidRPr="007C07BB" w:rsidRDefault="005D2F29" w:rsidP="005D2F29">
      <w:pPr>
        <w:rPr>
          <w:sz w:val="16"/>
          <w:szCs w:val="16"/>
          <w:highlight w:val="green"/>
        </w:rPr>
      </w:pPr>
    </w:p>
    <w:p w:rsidR="005D2F29" w:rsidRPr="00391C26" w:rsidRDefault="005D2F29" w:rsidP="005D2F29">
      <w:pPr>
        <w:pStyle w:val="a6"/>
        <w:ind w:firstLine="709"/>
      </w:pPr>
      <w:r w:rsidRPr="00391C26">
        <w:t>Основными веществами (по количеству исследований), контролируемыми на территории Нижегородской области  в 2017—2019г.г., являлись углеводороды, диоксид азота, оксид углерода, взвешенные вещества (пыль), серы диоксид, гидроксибен</w:t>
      </w:r>
      <w:r w:rsidR="007C07BB">
        <w:t xml:space="preserve">зол и его производные (фенол), </w:t>
      </w:r>
      <w:r w:rsidRPr="00391C26">
        <w:t>формальдегид, а</w:t>
      </w:r>
      <w:r w:rsidR="007C07BB">
        <w:t>ммиак.</w:t>
      </w:r>
    </w:p>
    <w:p w:rsidR="005D2F29" w:rsidRPr="00556374" w:rsidRDefault="005D2F29" w:rsidP="005D2F29">
      <w:pPr>
        <w:jc w:val="right"/>
        <w:rPr>
          <w:sz w:val="22"/>
          <w:szCs w:val="22"/>
        </w:rPr>
      </w:pPr>
      <w:r w:rsidRPr="00556374">
        <w:rPr>
          <w:sz w:val="22"/>
          <w:szCs w:val="22"/>
        </w:rPr>
        <w:t>Таблица №11</w:t>
      </w:r>
    </w:p>
    <w:p w:rsidR="005D2F29" w:rsidRPr="007C07BB" w:rsidRDefault="005D2F29" w:rsidP="005D2F29">
      <w:pPr>
        <w:rPr>
          <w:sz w:val="16"/>
          <w:szCs w:val="16"/>
        </w:rPr>
      </w:pPr>
    </w:p>
    <w:p w:rsidR="005D2F29" w:rsidRPr="006606FE" w:rsidRDefault="005D2F29" w:rsidP="005D2F29">
      <w:pPr>
        <w:jc w:val="center"/>
        <w:rPr>
          <w:b/>
          <w:sz w:val="22"/>
          <w:szCs w:val="22"/>
        </w:rPr>
      </w:pPr>
      <w:r w:rsidRPr="006606FE">
        <w:rPr>
          <w:b/>
          <w:sz w:val="22"/>
          <w:szCs w:val="22"/>
        </w:rPr>
        <w:t>Состояние атмосферного воздуха по основным загрязняющим веществам</w:t>
      </w:r>
      <w:r>
        <w:rPr>
          <w:b/>
          <w:sz w:val="22"/>
          <w:szCs w:val="22"/>
        </w:rPr>
        <w:t xml:space="preserve"> </w:t>
      </w:r>
      <w:r w:rsidRPr="006606FE">
        <w:rPr>
          <w:b/>
          <w:sz w:val="22"/>
          <w:szCs w:val="22"/>
        </w:rPr>
        <w:t>в населённых пунктах Нижегородской области (удельный вес проб с превышением ПДК в %)</w:t>
      </w:r>
    </w:p>
    <w:p w:rsidR="005D2F29" w:rsidRPr="007C07BB" w:rsidRDefault="005D2F29" w:rsidP="005D2F29">
      <w:pPr>
        <w:ind w:left="360"/>
        <w:jc w:val="center"/>
        <w:rPr>
          <w:sz w:val="16"/>
          <w:szCs w:val="16"/>
          <w:highlight w:val="yellow"/>
        </w:rPr>
      </w:pPr>
    </w:p>
    <w:tbl>
      <w:tblPr>
        <w:tblW w:w="4837" w:type="pct"/>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41"/>
        <w:gridCol w:w="1350"/>
        <w:gridCol w:w="1346"/>
        <w:gridCol w:w="1622"/>
      </w:tblGrid>
      <w:tr w:rsidR="005D2F29" w:rsidRPr="00391C26" w:rsidTr="005D2F29">
        <w:trPr>
          <w:trHeight w:val="34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highlight w:val="yellow"/>
                <w:lang w:eastAsia="en-US"/>
              </w:rPr>
            </w:pPr>
            <w:r w:rsidRPr="00391C26">
              <w:rPr>
                <w:sz w:val="22"/>
                <w:szCs w:val="22"/>
                <w:lang w:eastAsia="en-US"/>
              </w:rPr>
              <w:t>Ингредиенты</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2017</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2018</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2019</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Взвешенные вещества</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0,04</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Серы диоксид</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0,38</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Дигидросульфид</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0,42</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0,38</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Углерода оксид</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0,24</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Азота диоксид</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0,15</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Аммиак</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0,20</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0,17</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0,63</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Гидроксибензол и его производные (фенол)</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0,48</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0,075</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0,39</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Формальдегид</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Бенз(а)пирен</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Хлор и его соединения</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Углеводороды</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0,05</w:t>
            </w:r>
          </w:p>
        </w:tc>
      </w:tr>
      <w:tr w:rsidR="005D2F29" w:rsidRPr="00391C26" w:rsidTr="005D2F29">
        <w:trPr>
          <w:trHeight w:val="255"/>
          <w:jc w:val="center"/>
        </w:trPr>
        <w:tc>
          <w:tcPr>
            <w:tcW w:w="2668" w:type="pct"/>
            <w:tcBorders>
              <w:top w:val="single" w:sz="4" w:space="0" w:color="auto"/>
              <w:left w:val="single" w:sz="4" w:space="0" w:color="auto"/>
              <w:bottom w:val="single" w:sz="4" w:space="0" w:color="auto"/>
              <w:right w:val="single" w:sz="4" w:space="0" w:color="auto"/>
            </w:tcBorders>
            <w:vAlign w:val="bottom"/>
          </w:tcPr>
          <w:p w:rsidR="005D2F29" w:rsidRPr="00391C26" w:rsidRDefault="005D2F29" w:rsidP="005D2F29">
            <w:pPr>
              <w:suppressAutoHyphens/>
              <w:spacing w:before="20" w:after="20"/>
              <w:ind w:left="57"/>
              <w:rPr>
                <w:lang w:eastAsia="en-US"/>
              </w:rPr>
            </w:pPr>
            <w:r w:rsidRPr="00391C26">
              <w:rPr>
                <w:sz w:val="22"/>
                <w:szCs w:val="22"/>
                <w:lang w:eastAsia="en-US"/>
              </w:rPr>
              <w:t>Прочие</w:t>
            </w:r>
          </w:p>
        </w:tc>
        <w:tc>
          <w:tcPr>
            <w:tcW w:w="729"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72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c>
          <w:tcPr>
            <w:tcW w:w="877" w:type="pct"/>
            <w:tcBorders>
              <w:top w:val="single" w:sz="4" w:space="0" w:color="auto"/>
              <w:left w:val="single" w:sz="4" w:space="0" w:color="auto"/>
              <w:bottom w:val="single" w:sz="4" w:space="0" w:color="auto"/>
              <w:right w:val="single" w:sz="4" w:space="0" w:color="auto"/>
            </w:tcBorders>
          </w:tcPr>
          <w:p w:rsidR="005D2F29" w:rsidRPr="00391C26" w:rsidRDefault="005D2F29" w:rsidP="005D2F29">
            <w:pPr>
              <w:suppressAutoHyphens/>
              <w:spacing w:before="20" w:after="20"/>
              <w:ind w:left="57"/>
              <w:jc w:val="center"/>
              <w:rPr>
                <w:lang w:eastAsia="en-US"/>
              </w:rPr>
            </w:pPr>
            <w:r w:rsidRPr="00391C26">
              <w:rPr>
                <w:sz w:val="22"/>
                <w:szCs w:val="22"/>
                <w:lang w:eastAsia="en-US"/>
              </w:rPr>
              <w:t>0</w:t>
            </w:r>
          </w:p>
        </w:tc>
      </w:tr>
    </w:tbl>
    <w:p w:rsidR="005D2F29" w:rsidRPr="00391C26" w:rsidRDefault="005D2F29" w:rsidP="007C07BB">
      <w:pPr>
        <w:ind w:firstLine="709"/>
        <w:jc w:val="both"/>
      </w:pPr>
      <w:r w:rsidRPr="00391C26">
        <w:lastRenderedPageBreak/>
        <w:t xml:space="preserve">В 2019 году по сравнению с предыдущим годом отмечено снижение количества проб с превышением </w:t>
      </w:r>
      <w:r w:rsidRPr="007C07BB">
        <w:rPr>
          <w:sz w:val="16"/>
          <w:szCs w:val="16"/>
        </w:rPr>
        <w:t>ПДК</w:t>
      </w:r>
      <w:r w:rsidRPr="00391C26">
        <w:t xml:space="preserve"> дигидросульфиду; не было отмечено проб с превышением ПДК по взвешенным веществам, серы диоксиду, углерода оксиду, азота диоксиду, формальдегиду, бенз(а)пирену, хлору и его </w:t>
      </w:r>
      <w:r w:rsidR="007C07BB">
        <w:t>соединениям и прочим веществам.</w:t>
      </w:r>
    </w:p>
    <w:p w:rsidR="005D2F29" w:rsidRPr="00391C26" w:rsidRDefault="005D2F29" w:rsidP="007C07BB">
      <w:pPr>
        <w:ind w:firstLine="709"/>
        <w:jc w:val="both"/>
      </w:pPr>
      <w:r w:rsidRPr="00391C26">
        <w:t>Вместе с тем, отмечен рост количества  проб с превышением ПДК по  аммиаку, гидроксибензолу и его производным (фенолу).</w:t>
      </w:r>
    </w:p>
    <w:p w:rsidR="005D2F29" w:rsidRPr="00391C26" w:rsidRDefault="005D2F29" w:rsidP="007C07BB">
      <w:pPr>
        <w:ind w:firstLine="709"/>
        <w:jc w:val="both"/>
      </w:pPr>
      <w:r w:rsidRPr="00391C26">
        <w:t>Ранжирование загрязняющих веществ по проценту проб атмосферного воздуха, превышающих гигиенические нормативы, представлено в следующей таблице.</w:t>
      </w:r>
    </w:p>
    <w:p w:rsidR="005D2F29" w:rsidRPr="007C07BB" w:rsidRDefault="005D2F29" w:rsidP="005D2F29">
      <w:pPr>
        <w:ind w:firstLine="709"/>
        <w:rPr>
          <w:sz w:val="16"/>
          <w:szCs w:val="16"/>
          <w:highlight w:val="yellow"/>
        </w:rPr>
      </w:pPr>
    </w:p>
    <w:p w:rsidR="005D2F29" w:rsidRPr="005F0252" w:rsidRDefault="005D2F29" w:rsidP="005D2F29">
      <w:pPr>
        <w:jc w:val="right"/>
        <w:rPr>
          <w:sz w:val="22"/>
          <w:szCs w:val="22"/>
        </w:rPr>
      </w:pPr>
      <w:r w:rsidRPr="005F0252">
        <w:rPr>
          <w:sz w:val="22"/>
          <w:szCs w:val="22"/>
        </w:rPr>
        <w:t>Таблица №12</w:t>
      </w:r>
    </w:p>
    <w:p w:rsidR="005D2F29" w:rsidRPr="007C07BB" w:rsidRDefault="005D2F29" w:rsidP="005D2F29">
      <w:pPr>
        <w:rPr>
          <w:sz w:val="16"/>
          <w:szCs w:val="16"/>
        </w:rPr>
      </w:pPr>
    </w:p>
    <w:p w:rsidR="005D2F29" w:rsidRPr="005F0252" w:rsidRDefault="005D2F29" w:rsidP="005D2F29">
      <w:pPr>
        <w:jc w:val="center"/>
        <w:rPr>
          <w:b/>
          <w:sz w:val="22"/>
          <w:szCs w:val="22"/>
        </w:rPr>
      </w:pPr>
      <w:r w:rsidRPr="005F0252">
        <w:rPr>
          <w:b/>
          <w:sz w:val="22"/>
          <w:szCs w:val="22"/>
        </w:rPr>
        <w:t>Ранжирование загрязняющих веществ по проценту проб, превышающих гигиенические нормативы в атмосферном воздухе населённых мест  в 2019г. (ф. 18)</w:t>
      </w:r>
    </w:p>
    <w:p w:rsidR="005D2F29" w:rsidRPr="007C07BB" w:rsidRDefault="005D2F29" w:rsidP="005D2F29">
      <w:pPr>
        <w:rPr>
          <w:sz w:val="18"/>
          <w:szCs w:val="18"/>
        </w:rPr>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336"/>
        <w:gridCol w:w="1832"/>
        <w:gridCol w:w="901"/>
        <w:gridCol w:w="976"/>
        <w:gridCol w:w="1169"/>
        <w:gridCol w:w="1203"/>
        <w:gridCol w:w="1291"/>
        <w:gridCol w:w="1554"/>
      </w:tblGrid>
      <w:tr w:rsidR="005D2F29" w:rsidRPr="005F0252" w:rsidTr="005D2F29">
        <w:trPr>
          <w:cantSplit/>
          <w:tblHeader/>
          <w:jc w:val="center"/>
        </w:trPr>
        <w:tc>
          <w:tcPr>
            <w:tcW w:w="33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rPr>
                <w:sz w:val="22"/>
                <w:szCs w:val="22"/>
                <w:lang w:eastAsia="en-US"/>
              </w:rPr>
            </w:pPr>
            <w:r w:rsidRPr="005F0252">
              <w:rPr>
                <w:sz w:val="22"/>
                <w:szCs w:val="22"/>
                <w:lang w:eastAsia="en-US"/>
              </w:rPr>
              <w:t>№</w:t>
            </w:r>
          </w:p>
        </w:tc>
        <w:tc>
          <w:tcPr>
            <w:tcW w:w="1832"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keepNext/>
              <w:widowControl w:val="0"/>
              <w:spacing w:before="20" w:after="20"/>
              <w:ind w:left="57"/>
              <w:jc w:val="center"/>
              <w:rPr>
                <w:sz w:val="22"/>
                <w:szCs w:val="22"/>
                <w:lang w:eastAsia="en-US"/>
              </w:rPr>
            </w:pPr>
            <w:r w:rsidRPr="005F0252">
              <w:rPr>
                <w:sz w:val="22"/>
                <w:szCs w:val="22"/>
                <w:lang w:eastAsia="en-US"/>
              </w:rPr>
              <w:t>Вещество</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keepNext/>
              <w:widowControl w:val="0"/>
              <w:spacing w:before="20" w:after="20"/>
              <w:ind w:left="57"/>
              <w:jc w:val="center"/>
              <w:rPr>
                <w:sz w:val="22"/>
                <w:szCs w:val="22"/>
                <w:lang w:eastAsia="en-US"/>
              </w:rPr>
            </w:pPr>
            <w:r w:rsidRPr="005F0252">
              <w:rPr>
                <w:sz w:val="22"/>
                <w:szCs w:val="22"/>
                <w:lang w:eastAsia="en-US"/>
              </w:rPr>
              <w:t>Кол-во исследованных проб</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keepNext/>
              <w:widowControl w:val="0"/>
              <w:spacing w:before="20" w:after="20"/>
              <w:ind w:left="57"/>
              <w:jc w:val="center"/>
              <w:rPr>
                <w:sz w:val="22"/>
                <w:szCs w:val="22"/>
                <w:lang w:eastAsia="en-US"/>
              </w:rPr>
            </w:pPr>
            <w:r w:rsidRPr="005F0252">
              <w:rPr>
                <w:sz w:val="22"/>
                <w:szCs w:val="22"/>
                <w:lang w:eastAsia="en-US"/>
              </w:rPr>
              <w:t>Процент проб от всех исследований</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keepNext/>
              <w:widowControl w:val="0"/>
              <w:spacing w:before="20" w:after="20"/>
              <w:ind w:left="57"/>
              <w:jc w:val="center"/>
              <w:rPr>
                <w:sz w:val="22"/>
                <w:szCs w:val="22"/>
                <w:lang w:eastAsia="en-US"/>
              </w:rPr>
            </w:pPr>
            <w:r w:rsidRPr="005F0252">
              <w:rPr>
                <w:sz w:val="22"/>
                <w:szCs w:val="22"/>
                <w:lang w:eastAsia="en-US"/>
              </w:rPr>
              <w:t>Ранг по количеству исследованных проб</w:t>
            </w: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keepNext/>
              <w:widowControl w:val="0"/>
              <w:spacing w:before="20" w:after="20"/>
              <w:ind w:left="57"/>
              <w:jc w:val="center"/>
              <w:rPr>
                <w:b/>
                <w:sz w:val="22"/>
                <w:szCs w:val="22"/>
                <w:lang w:eastAsia="en-US"/>
              </w:rPr>
            </w:pPr>
            <w:r w:rsidRPr="005F0252">
              <w:rPr>
                <w:b/>
                <w:sz w:val="22"/>
                <w:szCs w:val="22"/>
                <w:lang w:eastAsia="en-US"/>
              </w:rPr>
              <w:t>Процент проб  с превышением ПДК</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keepNext/>
              <w:widowControl w:val="0"/>
              <w:spacing w:before="20" w:after="20"/>
              <w:ind w:left="57"/>
              <w:jc w:val="center"/>
              <w:rPr>
                <w:sz w:val="22"/>
                <w:szCs w:val="22"/>
                <w:lang w:eastAsia="en-US"/>
              </w:rPr>
            </w:pPr>
            <w:r w:rsidRPr="005F0252">
              <w:rPr>
                <w:sz w:val="22"/>
                <w:szCs w:val="22"/>
                <w:lang w:eastAsia="en-US"/>
              </w:rPr>
              <w:t>Ранг по % проб  с превышением ПДК</w:t>
            </w:r>
          </w:p>
        </w:tc>
        <w:tc>
          <w:tcPr>
            <w:tcW w:w="1554"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keepNext/>
              <w:widowControl w:val="0"/>
              <w:spacing w:before="20" w:after="20"/>
              <w:ind w:left="57"/>
              <w:rPr>
                <w:sz w:val="22"/>
                <w:szCs w:val="22"/>
                <w:lang w:eastAsia="en-US"/>
              </w:rPr>
            </w:pPr>
            <w:r w:rsidRPr="005F0252">
              <w:rPr>
                <w:sz w:val="22"/>
                <w:szCs w:val="22"/>
                <w:lang w:eastAsia="en-US"/>
              </w:rPr>
              <w:t>Рост –снижение</w:t>
            </w:r>
          </w:p>
          <w:p w:rsidR="005D2F29" w:rsidRPr="005F0252" w:rsidRDefault="005D2F29" w:rsidP="005D2F29">
            <w:pPr>
              <w:keepNext/>
              <w:widowControl w:val="0"/>
              <w:spacing w:before="20" w:after="20"/>
              <w:ind w:left="57"/>
              <w:jc w:val="center"/>
              <w:rPr>
                <w:sz w:val="22"/>
                <w:szCs w:val="22"/>
                <w:lang w:eastAsia="en-US"/>
              </w:rPr>
            </w:pPr>
            <w:r w:rsidRPr="005F0252">
              <w:rPr>
                <w:sz w:val="22"/>
                <w:szCs w:val="22"/>
                <w:lang w:eastAsia="en-US"/>
              </w:rPr>
              <w:t>(по сравнению с 2018г. по % проб с превышением ПДК)</w:t>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Всего:</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20773</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100</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b/>
                <w:sz w:val="22"/>
                <w:szCs w:val="22"/>
                <w:lang w:eastAsia="en-US"/>
              </w:rPr>
            </w:pPr>
            <w:r w:rsidRPr="005F0252">
              <w:rPr>
                <w:b/>
                <w:sz w:val="22"/>
                <w:szCs w:val="22"/>
                <w:lang w:eastAsia="en-US"/>
              </w:rPr>
              <w:t>0,06</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p>
        </w:tc>
        <w:tc>
          <w:tcPr>
            <w:tcW w:w="1554"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highlight w:val="yellow"/>
                <w:lang w:eastAsia="en-US"/>
              </w:rPr>
            </w:pPr>
            <w:r w:rsidRPr="005F0252">
              <w:rPr>
                <w:sz w:val="22"/>
                <w:szCs w:val="22"/>
                <w:lang w:eastAsia="en-US"/>
              </w:rPr>
              <w:sym w:font="Symbol" w:char="F0AF"/>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взвешенные вещества</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2226</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10,7</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4</w:t>
            </w: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suppressAutoHyphens/>
              <w:spacing w:before="20" w:after="20"/>
              <w:ind w:left="57"/>
              <w:jc w:val="center"/>
              <w:rPr>
                <w:b/>
                <w:sz w:val="22"/>
                <w:szCs w:val="22"/>
                <w:lang w:eastAsia="en-US"/>
              </w:rPr>
            </w:pPr>
            <w:r w:rsidRPr="005F0252">
              <w:rPr>
                <w:b/>
                <w:sz w:val="22"/>
                <w:szCs w:val="22"/>
                <w:lang w:eastAsia="en-US"/>
              </w:rPr>
              <w:t>0</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spacing w:line="276" w:lineRule="auto"/>
              <w:rPr>
                <w:sz w:val="22"/>
                <w:szCs w:val="22"/>
                <w:lang w:eastAsia="en-US"/>
              </w:rPr>
            </w:pPr>
          </w:p>
        </w:tc>
        <w:tc>
          <w:tcPr>
            <w:tcW w:w="1554"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w:t>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серы диоксид</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1428</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6,9</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5</w:t>
            </w: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suppressAutoHyphens/>
              <w:spacing w:before="20" w:after="20"/>
              <w:ind w:left="57"/>
              <w:jc w:val="center"/>
              <w:rPr>
                <w:b/>
                <w:sz w:val="22"/>
                <w:szCs w:val="22"/>
                <w:lang w:eastAsia="en-US"/>
              </w:rPr>
            </w:pPr>
            <w:r w:rsidRPr="005F0252">
              <w:rPr>
                <w:b/>
                <w:sz w:val="22"/>
                <w:szCs w:val="22"/>
                <w:lang w:eastAsia="en-US"/>
              </w:rPr>
              <w:t>0</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p>
        </w:tc>
        <w:tc>
          <w:tcPr>
            <w:tcW w:w="1554"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sym w:font="Symbol" w:char="F0AF"/>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дигидросульфид</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1056</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5,1</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6</w:t>
            </w: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suppressAutoHyphens/>
              <w:spacing w:before="20" w:after="20"/>
              <w:ind w:left="57"/>
              <w:jc w:val="center"/>
              <w:rPr>
                <w:b/>
                <w:sz w:val="22"/>
                <w:szCs w:val="22"/>
                <w:lang w:eastAsia="en-US"/>
              </w:rPr>
            </w:pPr>
            <w:r w:rsidRPr="005F0252">
              <w:rPr>
                <w:b/>
                <w:sz w:val="22"/>
                <w:szCs w:val="22"/>
                <w:lang w:eastAsia="en-US"/>
              </w:rPr>
              <w:t>0,38</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3</w:t>
            </w:r>
          </w:p>
        </w:tc>
        <w:tc>
          <w:tcPr>
            <w:tcW w:w="1554"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sym w:font="Symbol" w:char="F0AF"/>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углерода оксид</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3624</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17,4</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3</w:t>
            </w: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suppressAutoHyphens/>
              <w:spacing w:before="20" w:after="20"/>
              <w:ind w:left="57"/>
              <w:jc w:val="center"/>
              <w:rPr>
                <w:b/>
                <w:sz w:val="22"/>
                <w:szCs w:val="22"/>
                <w:lang w:eastAsia="en-US"/>
              </w:rPr>
            </w:pPr>
            <w:r w:rsidRPr="005F0252">
              <w:rPr>
                <w:b/>
                <w:sz w:val="22"/>
                <w:szCs w:val="22"/>
                <w:lang w:eastAsia="en-US"/>
              </w:rPr>
              <w:t>0</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spacing w:line="276" w:lineRule="auto"/>
              <w:rPr>
                <w:sz w:val="22"/>
                <w:szCs w:val="22"/>
                <w:lang w:eastAsia="en-US"/>
              </w:rPr>
            </w:pPr>
          </w:p>
        </w:tc>
        <w:tc>
          <w:tcPr>
            <w:tcW w:w="1554"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suppressAutoHyphens/>
              <w:ind w:firstLine="709"/>
              <w:rPr>
                <w:sz w:val="22"/>
                <w:szCs w:val="22"/>
                <w:lang w:eastAsia="en-US"/>
              </w:rPr>
            </w:pPr>
            <w:r w:rsidRPr="005F0252">
              <w:rPr>
                <w:sz w:val="22"/>
                <w:szCs w:val="22"/>
                <w:lang w:eastAsia="en-US"/>
              </w:rPr>
              <w:t>=</w:t>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азота диоксид</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3702</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17,8</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2</w:t>
            </w: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suppressAutoHyphens/>
              <w:spacing w:before="20" w:after="20"/>
              <w:ind w:left="57"/>
              <w:jc w:val="center"/>
              <w:rPr>
                <w:b/>
                <w:sz w:val="22"/>
                <w:szCs w:val="22"/>
                <w:lang w:eastAsia="en-US"/>
              </w:rPr>
            </w:pPr>
            <w:r w:rsidRPr="005F0252">
              <w:rPr>
                <w:b/>
                <w:sz w:val="22"/>
                <w:szCs w:val="22"/>
                <w:lang w:eastAsia="en-US"/>
              </w:rPr>
              <w:t>0</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p>
        </w:tc>
        <w:tc>
          <w:tcPr>
            <w:tcW w:w="1554"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suppressAutoHyphens/>
              <w:ind w:firstLine="709"/>
              <w:rPr>
                <w:sz w:val="22"/>
                <w:szCs w:val="22"/>
                <w:lang w:eastAsia="en-US"/>
              </w:rPr>
            </w:pPr>
            <w:r w:rsidRPr="005F0252">
              <w:rPr>
                <w:sz w:val="22"/>
                <w:szCs w:val="22"/>
                <w:lang w:eastAsia="en-US"/>
              </w:rPr>
              <w:sym w:font="Symbol" w:char="F0AF"/>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аммиак</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477</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2,3</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9</w:t>
            </w: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b/>
                <w:sz w:val="22"/>
                <w:szCs w:val="22"/>
                <w:lang w:eastAsia="en-US"/>
              </w:rPr>
            </w:pPr>
            <w:r w:rsidRPr="005F0252">
              <w:rPr>
                <w:b/>
                <w:sz w:val="22"/>
                <w:szCs w:val="22"/>
                <w:lang w:eastAsia="en-US"/>
              </w:rPr>
              <w:t>0,63</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w:t>
            </w:r>
          </w:p>
        </w:tc>
        <w:tc>
          <w:tcPr>
            <w:tcW w:w="1554"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suppressAutoHyphens/>
              <w:ind w:firstLine="709"/>
              <w:rPr>
                <w:sz w:val="22"/>
                <w:szCs w:val="22"/>
                <w:lang w:eastAsia="en-US"/>
              </w:rPr>
            </w:pPr>
            <w:r w:rsidRPr="005F0252">
              <w:rPr>
                <w:sz w:val="22"/>
                <w:szCs w:val="22"/>
                <w:lang w:eastAsia="en-US"/>
              </w:rPr>
              <w:t>↑</w:t>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гидроксибензол и его производные</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1030</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5,0</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7</w:t>
            </w: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suppressAutoHyphens/>
              <w:spacing w:before="20" w:after="20"/>
              <w:ind w:left="57"/>
              <w:jc w:val="center"/>
              <w:rPr>
                <w:b/>
                <w:sz w:val="22"/>
                <w:szCs w:val="22"/>
                <w:lang w:eastAsia="en-US"/>
              </w:rPr>
            </w:pPr>
            <w:r w:rsidRPr="005F0252">
              <w:rPr>
                <w:b/>
                <w:sz w:val="22"/>
                <w:szCs w:val="22"/>
                <w:lang w:eastAsia="en-US"/>
              </w:rPr>
              <w:t>0,39</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2</w:t>
            </w:r>
          </w:p>
        </w:tc>
        <w:tc>
          <w:tcPr>
            <w:tcW w:w="1554"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w:t>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формальдегид</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1011</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4,9</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8</w:t>
            </w: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suppressAutoHyphens/>
              <w:spacing w:before="20" w:after="20"/>
              <w:ind w:left="57"/>
              <w:jc w:val="center"/>
              <w:rPr>
                <w:b/>
                <w:sz w:val="22"/>
                <w:szCs w:val="22"/>
                <w:lang w:eastAsia="en-US"/>
              </w:rPr>
            </w:pPr>
            <w:r w:rsidRPr="005F0252">
              <w:rPr>
                <w:b/>
                <w:sz w:val="22"/>
                <w:szCs w:val="22"/>
                <w:lang w:eastAsia="en-US"/>
              </w:rPr>
              <w:t>0</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p>
        </w:tc>
        <w:tc>
          <w:tcPr>
            <w:tcW w:w="1554"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w:t>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серная кислота</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282</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1,4</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11</w:t>
            </w:r>
          </w:p>
        </w:tc>
        <w:tc>
          <w:tcPr>
            <w:tcW w:w="1203"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suppressAutoHyphens/>
              <w:spacing w:before="20" w:after="20"/>
              <w:ind w:left="57"/>
              <w:jc w:val="center"/>
              <w:rPr>
                <w:b/>
                <w:sz w:val="22"/>
                <w:szCs w:val="22"/>
                <w:lang w:eastAsia="en-US"/>
              </w:rPr>
            </w:pPr>
            <w:r w:rsidRPr="005F0252">
              <w:rPr>
                <w:b/>
                <w:sz w:val="22"/>
                <w:szCs w:val="22"/>
                <w:lang w:eastAsia="en-US"/>
              </w:rPr>
              <w:t>0</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p>
        </w:tc>
        <w:tc>
          <w:tcPr>
            <w:tcW w:w="1554"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w:t>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бенз(а)пирен</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57</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0,3</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12</w:t>
            </w:r>
          </w:p>
        </w:tc>
        <w:tc>
          <w:tcPr>
            <w:tcW w:w="1203"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suppressAutoHyphens/>
              <w:spacing w:before="20" w:after="20"/>
              <w:ind w:left="57"/>
              <w:jc w:val="center"/>
              <w:rPr>
                <w:b/>
                <w:sz w:val="22"/>
                <w:szCs w:val="22"/>
                <w:lang w:eastAsia="en-US"/>
              </w:rPr>
            </w:pPr>
            <w:r w:rsidRPr="005F0252">
              <w:rPr>
                <w:b/>
                <w:sz w:val="22"/>
                <w:szCs w:val="22"/>
                <w:lang w:eastAsia="en-US"/>
              </w:rPr>
              <w:t>0</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p>
        </w:tc>
        <w:tc>
          <w:tcPr>
            <w:tcW w:w="1554"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w:t>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углеводороды</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4126</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19,9</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w:t>
            </w: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suppressAutoHyphens/>
              <w:spacing w:before="20" w:after="20"/>
              <w:ind w:left="57"/>
              <w:jc w:val="center"/>
              <w:rPr>
                <w:b/>
                <w:sz w:val="22"/>
                <w:szCs w:val="22"/>
                <w:lang w:eastAsia="en-US"/>
              </w:rPr>
            </w:pPr>
            <w:r w:rsidRPr="005F0252">
              <w:rPr>
                <w:b/>
                <w:sz w:val="22"/>
                <w:szCs w:val="22"/>
                <w:lang w:eastAsia="en-US"/>
              </w:rPr>
              <w:t>0,05</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4</w:t>
            </w:r>
          </w:p>
        </w:tc>
        <w:tc>
          <w:tcPr>
            <w:tcW w:w="1554"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w:t>
            </w:r>
          </w:p>
        </w:tc>
      </w:tr>
      <w:tr w:rsidR="005D2F29" w:rsidRPr="005F0252" w:rsidTr="005D2F29">
        <w:trPr>
          <w:jc w:val="center"/>
        </w:trPr>
        <w:tc>
          <w:tcPr>
            <w:tcW w:w="336" w:type="dxa"/>
            <w:tcBorders>
              <w:top w:val="single" w:sz="4" w:space="0" w:color="auto"/>
              <w:left w:val="single" w:sz="4" w:space="0" w:color="auto"/>
              <w:bottom w:val="single" w:sz="4" w:space="0" w:color="auto"/>
              <w:right w:val="single" w:sz="4" w:space="0" w:color="auto"/>
            </w:tcBorders>
          </w:tcPr>
          <w:p w:rsidR="005D2F29" w:rsidRPr="005F0252" w:rsidRDefault="005D2F29" w:rsidP="004638B2">
            <w:pPr>
              <w:widowControl w:val="0"/>
              <w:numPr>
                <w:ilvl w:val="0"/>
                <w:numId w:val="1"/>
              </w:numPr>
              <w:spacing w:before="20" w:after="20"/>
              <w:jc w:val="both"/>
              <w:rPr>
                <w:sz w:val="22"/>
                <w:szCs w:val="22"/>
                <w:lang w:eastAsia="en-US"/>
              </w:rPr>
            </w:pPr>
          </w:p>
        </w:tc>
        <w:tc>
          <w:tcPr>
            <w:tcW w:w="1832" w:type="dxa"/>
            <w:tcBorders>
              <w:top w:val="single" w:sz="4" w:space="0" w:color="auto"/>
              <w:left w:val="single" w:sz="4" w:space="0" w:color="auto"/>
              <w:bottom w:val="single" w:sz="4" w:space="0" w:color="auto"/>
              <w:right w:val="single" w:sz="4" w:space="0" w:color="auto"/>
            </w:tcBorders>
          </w:tcPr>
          <w:p w:rsidR="005D2F29" w:rsidRPr="005F0252" w:rsidRDefault="005D2F29" w:rsidP="005D2F29">
            <w:pPr>
              <w:widowControl w:val="0"/>
              <w:spacing w:before="20" w:after="20"/>
              <w:ind w:left="57"/>
              <w:rPr>
                <w:sz w:val="22"/>
                <w:szCs w:val="22"/>
                <w:lang w:eastAsia="en-US"/>
              </w:rPr>
            </w:pPr>
            <w:r w:rsidRPr="005F0252">
              <w:rPr>
                <w:sz w:val="22"/>
                <w:szCs w:val="22"/>
                <w:lang w:eastAsia="en-US"/>
              </w:rPr>
              <w:t>Хлор и его соединения</w:t>
            </w:r>
          </w:p>
        </w:tc>
        <w:tc>
          <w:tcPr>
            <w:tcW w:w="90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334</w:t>
            </w:r>
          </w:p>
        </w:tc>
        <w:tc>
          <w:tcPr>
            <w:tcW w:w="976"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1,6</w:t>
            </w:r>
          </w:p>
        </w:tc>
        <w:tc>
          <w:tcPr>
            <w:tcW w:w="1169"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10</w:t>
            </w:r>
          </w:p>
        </w:tc>
        <w:tc>
          <w:tcPr>
            <w:tcW w:w="1203"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suppressAutoHyphens/>
              <w:spacing w:before="20" w:after="20"/>
              <w:ind w:left="57"/>
              <w:jc w:val="center"/>
              <w:rPr>
                <w:b/>
                <w:sz w:val="22"/>
                <w:szCs w:val="22"/>
                <w:lang w:eastAsia="en-US"/>
              </w:rPr>
            </w:pPr>
            <w:r w:rsidRPr="005F0252">
              <w:rPr>
                <w:b/>
                <w:sz w:val="22"/>
                <w:szCs w:val="22"/>
                <w:lang w:eastAsia="en-US"/>
              </w:rPr>
              <w:t>0</w:t>
            </w:r>
          </w:p>
        </w:tc>
        <w:tc>
          <w:tcPr>
            <w:tcW w:w="1291"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p>
        </w:tc>
        <w:tc>
          <w:tcPr>
            <w:tcW w:w="1554" w:type="dxa"/>
            <w:tcBorders>
              <w:top w:val="single" w:sz="4" w:space="0" w:color="auto"/>
              <w:left w:val="single" w:sz="4" w:space="0" w:color="auto"/>
              <w:bottom w:val="single" w:sz="4" w:space="0" w:color="auto"/>
              <w:right w:val="single" w:sz="4" w:space="0" w:color="auto"/>
            </w:tcBorders>
            <w:vAlign w:val="center"/>
          </w:tcPr>
          <w:p w:rsidR="005D2F29" w:rsidRPr="005F0252" w:rsidRDefault="005D2F29" w:rsidP="005D2F29">
            <w:pPr>
              <w:widowControl w:val="0"/>
              <w:spacing w:before="20" w:after="20"/>
              <w:ind w:left="57"/>
              <w:jc w:val="center"/>
              <w:rPr>
                <w:sz w:val="22"/>
                <w:szCs w:val="22"/>
                <w:lang w:eastAsia="en-US"/>
              </w:rPr>
            </w:pPr>
            <w:r w:rsidRPr="005F0252">
              <w:rPr>
                <w:sz w:val="22"/>
                <w:szCs w:val="22"/>
                <w:lang w:eastAsia="en-US"/>
              </w:rPr>
              <w:t>=</w:t>
            </w:r>
          </w:p>
        </w:tc>
      </w:tr>
    </w:tbl>
    <w:p w:rsidR="005D2F29" w:rsidRPr="007C07BB" w:rsidRDefault="005D2F29" w:rsidP="005D2F29">
      <w:pPr>
        <w:pStyle w:val="bodytext"/>
        <w:tabs>
          <w:tab w:val="left" w:pos="180"/>
        </w:tabs>
        <w:spacing w:before="20" w:after="20"/>
        <w:ind w:left="57" w:firstLine="0"/>
        <w:rPr>
          <w:sz w:val="16"/>
          <w:szCs w:val="16"/>
          <w:highlight w:val="yellow"/>
        </w:rPr>
      </w:pPr>
    </w:p>
    <w:p w:rsidR="005D2F29" w:rsidRPr="00391C26" w:rsidRDefault="005D2F29" w:rsidP="007C07BB">
      <w:pPr>
        <w:ind w:firstLine="709"/>
        <w:jc w:val="both"/>
      </w:pPr>
      <w:r w:rsidRPr="00391C26">
        <w:t>Наибольшее количество проб</w:t>
      </w:r>
      <w:r w:rsidR="007C07BB">
        <w:t xml:space="preserve"> с превышением ПДК отмечено по </w:t>
      </w:r>
      <w:r w:rsidRPr="00391C26">
        <w:t xml:space="preserve">аммиаку, гидробензолу и его производным (фенол) </w:t>
      </w:r>
      <w:r w:rsidR="007C07BB">
        <w:t xml:space="preserve">и дигидросульфиду. </w:t>
      </w:r>
      <w:r w:rsidRPr="00391C26">
        <w:t>В 2018 году такими веществами были дигидросульфид и серы диоксид.</w:t>
      </w:r>
    </w:p>
    <w:p w:rsidR="005D2F29" w:rsidRPr="00391C26" w:rsidRDefault="005D2F29" w:rsidP="007C07BB">
      <w:pPr>
        <w:ind w:firstLine="709"/>
        <w:jc w:val="both"/>
      </w:pPr>
      <w:r w:rsidRPr="00391C26">
        <w:t>По количеству исследованных проб основная доля ежегодно принадлежит веществам, являющимся приоритетными загрязнителями атмосферного воздуха населённых мест - углеводородам, азота диоксиду, углерода</w:t>
      </w:r>
      <w:r w:rsidR="007C07BB">
        <w:t xml:space="preserve"> оксиду и взвешенным веществам.</w:t>
      </w:r>
    </w:p>
    <w:p w:rsidR="005D2F29" w:rsidRDefault="005D2F29" w:rsidP="007C07BB">
      <w:pPr>
        <w:ind w:firstLine="709"/>
        <w:jc w:val="both"/>
      </w:pPr>
      <w:r w:rsidRPr="00391C26">
        <w:t>По данным ФБУЗ «Центр гигиены и эпидемиологии в Нижегородской области» в 2019 году всего было зарегистрировано 13 проб с превышением ПДК загрязняющих веществ в атмосферном воздухе по 4 ингредиентам (по дигидросульфиду - 4 пробы; по гидроксибензолу и его производным (фенолу) - 4 пробы; по аммиаку - 3 пробы; по углеводородам - 2 пробы).</w:t>
      </w:r>
    </w:p>
    <w:p w:rsidR="007C07BB" w:rsidRDefault="007C07BB" w:rsidP="007C07BB">
      <w:pPr>
        <w:ind w:firstLine="709"/>
        <w:jc w:val="both"/>
      </w:pPr>
    </w:p>
    <w:p w:rsidR="005D2F29" w:rsidRPr="001237D2" w:rsidRDefault="005D2F29" w:rsidP="005D2F29">
      <w:pPr>
        <w:jc w:val="right"/>
        <w:rPr>
          <w:i/>
          <w:sz w:val="22"/>
          <w:szCs w:val="22"/>
        </w:rPr>
      </w:pPr>
      <w:r w:rsidRPr="001237D2">
        <w:rPr>
          <w:sz w:val="22"/>
          <w:szCs w:val="22"/>
        </w:rPr>
        <w:lastRenderedPageBreak/>
        <w:t>Таблица №13</w:t>
      </w:r>
    </w:p>
    <w:p w:rsidR="005D2F29" w:rsidRDefault="005D2F29" w:rsidP="005D2F29">
      <w:pPr>
        <w:jc w:val="center"/>
        <w:rPr>
          <w:b/>
          <w:sz w:val="22"/>
          <w:szCs w:val="22"/>
        </w:rPr>
      </w:pPr>
      <w:r w:rsidRPr="001237D2">
        <w:rPr>
          <w:b/>
          <w:sz w:val="22"/>
          <w:szCs w:val="22"/>
        </w:rPr>
        <w:t>Количество пр</w:t>
      </w:r>
      <w:r>
        <w:rPr>
          <w:b/>
          <w:sz w:val="22"/>
          <w:szCs w:val="22"/>
        </w:rPr>
        <w:t>о</w:t>
      </w:r>
      <w:r w:rsidRPr="001237D2">
        <w:rPr>
          <w:b/>
          <w:sz w:val="22"/>
          <w:szCs w:val="22"/>
        </w:rPr>
        <w:t>б с превышением ПДК в городах и населённых</w:t>
      </w:r>
    </w:p>
    <w:p w:rsidR="005D2F29" w:rsidRPr="001237D2" w:rsidRDefault="005D2F29" w:rsidP="005D2F29">
      <w:pPr>
        <w:jc w:val="center"/>
        <w:rPr>
          <w:b/>
          <w:sz w:val="22"/>
          <w:szCs w:val="22"/>
        </w:rPr>
      </w:pPr>
      <w:r w:rsidRPr="001237D2">
        <w:rPr>
          <w:b/>
          <w:sz w:val="22"/>
          <w:szCs w:val="22"/>
        </w:rPr>
        <w:t>пунктах Нижегородской области в 2019 году</w:t>
      </w:r>
    </w:p>
    <w:p w:rsidR="005D2F29" w:rsidRPr="007C07BB" w:rsidRDefault="005D2F29" w:rsidP="005D2F29">
      <w:pPr>
        <w:rPr>
          <w:b/>
          <w:sz w:val="16"/>
          <w:szCs w:val="16"/>
          <w:highlight w:val="yellow"/>
        </w:rPr>
      </w:pPr>
    </w:p>
    <w:tbl>
      <w:tblPr>
        <w:tblW w:w="5000"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7"/>
        <w:gridCol w:w="2214"/>
        <w:gridCol w:w="1899"/>
        <w:gridCol w:w="1754"/>
        <w:gridCol w:w="1426"/>
        <w:gridCol w:w="1699"/>
      </w:tblGrid>
      <w:tr w:rsidR="005D2F29" w:rsidRPr="001237D2" w:rsidTr="005D2F29">
        <w:trPr>
          <w:cantSplit/>
          <w:tblHeader/>
        </w:trPr>
        <w:tc>
          <w:tcPr>
            <w:tcW w:w="252" w:type="pct"/>
            <w:tcBorders>
              <w:top w:val="single" w:sz="4" w:space="0" w:color="auto"/>
              <w:left w:val="single" w:sz="4" w:space="0" w:color="auto"/>
              <w:bottom w:val="single" w:sz="4" w:space="0" w:color="auto"/>
              <w:right w:val="single" w:sz="4" w:space="0" w:color="auto"/>
            </w:tcBorders>
            <w:tcMar>
              <w:left w:w="57" w:type="dxa"/>
              <w:right w:w="57" w:type="dxa"/>
            </w:tcMar>
          </w:tcPr>
          <w:p w:rsidR="005D2F29" w:rsidRPr="001237D2" w:rsidRDefault="005D2F29" w:rsidP="005D2F29">
            <w:pPr>
              <w:rPr>
                <w:sz w:val="22"/>
                <w:szCs w:val="22"/>
                <w:lang w:eastAsia="en-US"/>
              </w:rPr>
            </w:pPr>
            <w:r w:rsidRPr="001237D2">
              <w:rPr>
                <w:sz w:val="22"/>
                <w:szCs w:val="22"/>
                <w:lang w:eastAsia="en-US"/>
              </w:rPr>
              <w:t>№</w:t>
            </w:r>
          </w:p>
        </w:tc>
        <w:tc>
          <w:tcPr>
            <w:tcW w:w="1169" w:type="pct"/>
            <w:tcBorders>
              <w:top w:val="single" w:sz="4" w:space="0" w:color="auto"/>
              <w:left w:val="single" w:sz="4" w:space="0" w:color="auto"/>
              <w:bottom w:val="single" w:sz="4" w:space="0" w:color="auto"/>
              <w:right w:val="single" w:sz="4" w:space="0" w:color="auto"/>
            </w:tcBorders>
            <w:tcMar>
              <w:left w:w="57" w:type="dxa"/>
              <w:right w:w="57" w:type="dxa"/>
            </w:tcMar>
          </w:tcPr>
          <w:p w:rsidR="005D2F29" w:rsidRPr="001237D2" w:rsidRDefault="005D2F29" w:rsidP="005D2F29">
            <w:pPr>
              <w:keepNext/>
              <w:suppressAutoHyphens/>
              <w:spacing w:before="20" w:after="20"/>
              <w:ind w:left="57"/>
              <w:rPr>
                <w:sz w:val="22"/>
                <w:szCs w:val="22"/>
                <w:lang w:eastAsia="en-US"/>
              </w:rPr>
            </w:pPr>
            <w:r w:rsidRPr="001237D2">
              <w:rPr>
                <w:sz w:val="22"/>
                <w:szCs w:val="22"/>
                <w:lang w:eastAsia="en-US"/>
              </w:rPr>
              <w:t>Населённые пункты</w:t>
            </w:r>
          </w:p>
        </w:tc>
        <w:tc>
          <w:tcPr>
            <w:tcW w:w="1003" w:type="pct"/>
            <w:tcBorders>
              <w:top w:val="single" w:sz="4" w:space="0" w:color="auto"/>
              <w:left w:val="single" w:sz="4" w:space="0" w:color="auto"/>
              <w:bottom w:val="single" w:sz="4" w:space="0" w:color="auto"/>
              <w:right w:val="single" w:sz="4" w:space="0" w:color="auto"/>
            </w:tcBorders>
            <w:tcMar>
              <w:left w:w="57" w:type="dxa"/>
              <w:right w:w="57" w:type="dxa"/>
            </w:tcMar>
          </w:tcPr>
          <w:p w:rsidR="005D2F29" w:rsidRPr="001237D2" w:rsidRDefault="005D2F29" w:rsidP="005D2F29">
            <w:pPr>
              <w:keepNext/>
              <w:suppressAutoHyphens/>
              <w:spacing w:before="20" w:after="20"/>
              <w:ind w:left="57"/>
              <w:rPr>
                <w:sz w:val="22"/>
                <w:szCs w:val="22"/>
                <w:lang w:eastAsia="en-US"/>
              </w:rPr>
            </w:pPr>
            <w:r w:rsidRPr="001237D2">
              <w:rPr>
                <w:sz w:val="22"/>
                <w:szCs w:val="22"/>
                <w:lang w:eastAsia="en-US"/>
              </w:rPr>
              <w:t>Дигидросульфид (проб с превышением ПДК)</w:t>
            </w:r>
          </w:p>
        </w:tc>
        <w:tc>
          <w:tcPr>
            <w:tcW w:w="926" w:type="pct"/>
            <w:tcBorders>
              <w:top w:val="single" w:sz="4" w:space="0" w:color="auto"/>
              <w:left w:val="single" w:sz="4" w:space="0" w:color="auto"/>
              <w:bottom w:val="single" w:sz="4" w:space="0" w:color="auto"/>
              <w:right w:val="single" w:sz="4" w:space="0" w:color="auto"/>
            </w:tcBorders>
            <w:tcMar>
              <w:left w:w="57" w:type="dxa"/>
              <w:right w:w="57" w:type="dxa"/>
            </w:tcMar>
          </w:tcPr>
          <w:p w:rsidR="005D2F29" w:rsidRPr="001237D2" w:rsidRDefault="005D2F29" w:rsidP="005D2F29">
            <w:pPr>
              <w:keepNext/>
              <w:suppressAutoHyphens/>
              <w:spacing w:before="20" w:after="20"/>
              <w:ind w:left="57"/>
              <w:rPr>
                <w:sz w:val="22"/>
                <w:szCs w:val="22"/>
                <w:lang w:eastAsia="en-US"/>
              </w:rPr>
            </w:pPr>
            <w:r w:rsidRPr="001237D2">
              <w:rPr>
                <w:sz w:val="22"/>
                <w:szCs w:val="22"/>
                <w:lang w:eastAsia="en-US"/>
              </w:rPr>
              <w:t>Гидроксибензол и его производные (фенол)</w:t>
            </w:r>
          </w:p>
          <w:p w:rsidR="005D2F29" w:rsidRPr="001237D2" w:rsidRDefault="005D2F29" w:rsidP="005D2F29">
            <w:pPr>
              <w:keepNext/>
              <w:suppressAutoHyphens/>
              <w:spacing w:before="20" w:after="20"/>
              <w:ind w:left="57"/>
              <w:rPr>
                <w:sz w:val="22"/>
                <w:szCs w:val="22"/>
                <w:lang w:eastAsia="en-US"/>
              </w:rPr>
            </w:pPr>
            <w:r w:rsidRPr="001237D2">
              <w:rPr>
                <w:sz w:val="22"/>
                <w:szCs w:val="22"/>
                <w:lang w:eastAsia="en-US"/>
              </w:rPr>
              <w:t>(проб с превышением ПДК)</w:t>
            </w:r>
          </w:p>
        </w:tc>
        <w:tc>
          <w:tcPr>
            <w:tcW w:w="753" w:type="pct"/>
            <w:tcBorders>
              <w:top w:val="single" w:sz="4" w:space="0" w:color="auto"/>
              <w:left w:val="single" w:sz="4" w:space="0" w:color="auto"/>
              <w:bottom w:val="single" w:sz="4" w:space="0" w:color="auto"/>
              <w:right w:val="single" w:sz="4" w:space="0" w:color="auto"/>
            </w:tcBorders>
            <w:tcMar>
              <w:left w:w="57" w:type="dxa"/>
              <w:right w:w="57" w:type="dxa"/>
            </w:tcMar>
          </w:tcPr>
          <w:p w:rsidR="005D2F29" w:rsidRPr="001237D2" w:rsidRDefault="005D2F29" w:rsidP="005D2F29">
            <w:pPr>
              <w:keepNext/>
              <w:suppressAutoHyphens/>
              <w:spacing w:before="20" w:after="20"/>
              <w:ind w:left="57"/>
              <w:rPr>
                <w:sz w:val="22"/>
                <w:szCs w:val="22"/>
                <w:lang w:eastAsia="en-US"/>
              </w:rPr>
            </w:pPr>
            <w:r w:rsidRPr="001237D2">
              <w:rPr>
                <w:sz w:val="22"/>
                <w:szCs w:val="22"/>
                <w:lang w:eastAsia="en-US"/>
              </w:rPr>
              <w:t>Аммиак</w:t>
            </w:r>
          </w:p>
          <w:p w:rsidR="005D2F29" w:rsidRPr="001237D2" w:rsidRDefault="005D2F29" w:rsidP="005D2F29">
            <w:pPr>
              <w:keepNext/>
              <w:suppressAutoHyphens/>
              <w:spacing w:before="20" w:after="20"/>
              <w:ind w:left="57"/>
              <w:rPr>
                <w:sz w:val="22"/>
                <w:szCs w:val="22"/>
                <w:lang w:eastAsia="en-US"/>
              </w:rPr>
            </w:pPr>
            <w:r w:rsidRPr="001237D2">
              <w:rPr>
                <w:sz w:val="22"/>
                <w:szCs w:val="22"/>
                <w:lang w:eastAsia="en-US"/>
              </w:rPr>
              <w:t>(проб с превышением ПДК)</w:t>
            </w:r>
          </w:p>
        </w:tc>
        <w:tc>
          <w:tcPr>
            <w:tcW w:w="897" w:type="pct"/>
            <w:tcBorders>
              <w:top w:val="single" w:sz="4" w:space="0" w:color="auto"/>
              <w:left w:val="single" w:sz="4" w:space="0" w:color="auto"/>
              <w:bottom w:val="single" w:sz="4" w:space="0" w:color="auto"/>
              <w:right w:val="single" w:sz="4" w:space="0" w:color="auto"/>
            </w:tcBorders>
            <w:tcMar>
              <w:left w:w="57" w:type="dxa"/>
              <w:right w:w="57" w:type="dxa"/>
            </w:tcMar>
          </w:tcPr>
          <w:p w:rsidR="005D2F29" w:rsidRPr="001237D2" w:rsidRDefault="005D2F29" w:rsidP="005D2F29">
            <w:pPr>
              <w:keepNext/>
              <w:suppressAutoHyphens/>
              <w:spacing w:before="20" w:after="20"/>
              <w:ind w:left="57"/>
              <w:rPr>
                <w:sz w:val="22"/>
                <w:szCs w:val="22"/>
                <w:lang w:eastAsia="en-US"/>
              </w:rPr>
            </w:pPr>
            <w:r w:rsidRPr="001237D2">
              <w:rPr>
                <w:sz w:val="22"/>
                <w:szCs w:val="22"/>
                <w:lang w:eastAsia="en-US"/>
              </w:rPr>
              <w:t>Углеводороды (этилбензол</w:t>
            </w:r>
          </w:p>
          <w:p w:rsidR="005D2F29" w:rsidRPr="001237D2" w:rsidRDefault="005D2F29" w:rsidP="005D2F29">
            <w:pPr>
              <w:keepNext/>
              <w:suppressAutoHyphens/>
              <w:spacing w:before="20" w:after="20"/>
              <w:ind w:left="57"/>
              <w:rPr>
                <w:sz w:val="22"/>
                <w:szCs w:val="22"/>
                <w:lang w:eastAsia="en-US"/>
              </w:rPr>
            </w:pPr>
            <w:r w:rsidRPr="001237D2">
              <w:rPr>
                <w:sz w:val="22"/>
                <w:szCs w:val="22"/>
                <w:lang w:eastAsia="en-US"/>
              </w:rPr>
              <w:t>(проб с превышением ПДК)</w:t>
            </w:r>
          </w:p>
        </w:tc>
      </w:tr>
      <w:tr w:rsidR="005D2F29" w:rsidRPr="001237D2" w:rsidTr="005D2F29">
        <w:trPr>
          <w:cantSplit/>
        </w:trPr>
        <w:tc>
          <w:tcPr>
            <w:tcW w:w="252"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1</w:t>
            </w:r>
          </w:p>
        </w:tc>
        <w:tc>
          <w:tcPr>
            <w:tcW w:w="1169"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г. Кстово</w:t>
            </w:r>
          </w:p>
        </w:tc>
        <w:tc>
          <w:tcPr>
            <w:tcW w:w="1003"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pacing w:line="276" w:lineRule="auto"/>
              <w:rPr>
                <w:rFonts w:ascii="Calibri" w:hAnsi="Calibri"/>
                <w:sz w:val="22"/>
                <w:szCs w:val="22"/>
                <w:lang w:eastAsia="en-US"/>
              </w:rPr>
            </w:pPr>
          </w:p>
        </w:tc>
        <w:tc>
          <w:tcPr>
            <w:tcW w:w="926"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4</w:t>
            </w:r>
          </w:p>
        </w:tc>
        <w:tc>
          <w:tcPr>
            <w:tcW w:w="753"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highlight w:val="yellow"/>
                <w:lang w:eastAsia="en-US"/>
              </w:rPr>
            </w:pPr>
          </w:p>
        </w:tc>
        <w:tc>
          <w:tcPr>
            <w:tcW w:w="897"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highlight w:val="yellow"/>
                <w:lang w:eastAsia="en-US"/>
              </w:rPr>
            </w:pPr>
          </w:p>
        </w:tc>
      </w:tr>
      <w:tr w:rsidR="005D2F29" w:rsidRPr="001237D2" w:rsidTr="005D2F29">
        <w:tc>
          <w:tcPr>
            <w:tcW w:w="252"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2</w:t>
            </w:r>
          </w:p>
        </w:tc>
        <w:tc>
          <w:tcPr>
            <w:tcW w:w="1169"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pacing w:before="20" w:after="20"/>
              <w:ind w:left="57"/>
              <w:rPr>
                <w:sz w:val="22"/>
                <w:szCs w:val="22"/>
                <w:lang w:eastAsia="en-US"/>
              </w:rPr>
            </w:pPr>
            <w:r w:rsidRPr="001237D2">
              <w:rPr>
                <w:sz w:val="22"/>
                <w:szCs w:val="22"/>
                <w:lang w:eastAsia="en-US"/>
              </w:rPr>
              <w:t>г. Бор</w:t>
            </w:r>
          </w:p>
        </w:tc>
        <w:tc>
          <w:tcPr>
            <w:tcW w:w="1003"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jc w:val="center"/>
              <w:rPr>
                <w:sz w:val="22"/>
                <w:szCs w:val="22"/>
                <w:lang w:eastAsia="en-US"/>
              </w:rPr>
            </w:pPr>
            <w:r w:rsidRPr="001237D2">
              <w:rPr>
                <w:sz w:val="22"/>
                <w:szCs w:val="22"/>
                <w:lang w:eastAsia="en-US"/>
              </w:rPr>
              <w:t>1</w:t>
            </w:r>
          </w:p>
        </w:tc>
        <w:tc>
          <w:tcPr>
            <w:tcW w:w="926"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pacing w:line="276" w:lineRule="auto"/>
              <w:rPr>
                <w:rFonts w:ascii="Calibri" w:hAnsi="Calibri"/>
                <w:sz w:val="22"/>
                <w:szCs w:val="22"/>
                <w:lang w:eastAsia="en-US"/>
              </w:rPr>
            </w:pPr>
          </w:p>
        </w:tc>
        <w:tc>
          <w:tcPr>
            <w:tcW w:w="753"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pacing w:line="276" w:lineRule="auto"/>
              <w:rPr>
                <w:rFonts w:ascii="Calibri" w:hAnsi="Calibri"/>
                <w:sz w:val="22"/>
                <w:szCs w:val="22"/>
                <w:lang w:eastAsia="en-US"/>
              </w:rPr>
            </w:pPr>
          </w:p>
        </w:tc>
        <w:tc>
          <w:tcPr>
            <w:tcW w:w="897"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2</w:t>
            </w:r>
          </w:p>
        </w:tc>
      </w:tr>
      <w:tr w:rsidR="005D2F29" w:rsidRPr="001237D2" w:rsidTr="005D2F29">
        <w:tc>
          <w:tcPr>
            <w:tcW w:w="252"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3</w:t>
            </w:r>
          </w:p>
        </w:tc>
        <w:tc>
          <w:tcPr>
            <w:tcW w:w="1169"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г. Володарск</w:t>
            </w:r>
          </w:p>
        </w:tc>
        <w:tc>
          <w:tcPr>
            <w:tcW w:w="1003"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pacing w:line="276" w:lineRule="auto"/>
              <w:rPr>
                <w:rFonts w:ascii="Calibri" w:hAnsi="Calibri"/>
                <w:sz w:val="22"/>
                <w:szCs w:val="22"/>
                <w:lang w:eastAsia="en-US"/>
              </w:rPr>
            </w:pPr>
          </w:p>
        </w:tc>
        <w:tc>
          <w:tcPr>
            <w:tcW w:w="926" w:type="pct"/>
            <w:tcBorders>
              <w:top w:val="single" w:sz="4" w:space="0" w:color="auto"/>
              <w:left w:val="single" w:sz="4" w:space="0" w:color="auto"/>
              <w:bottom w:val="single" w:sz="4" w:space="0" w:color="auto"/>
              <w:right w:val="single" w:sz="4" w:space="0" w:color="auto"/>
            </w:tcBorders>
            <w:vAlign w:val="bottom"/>
          </w:tcPr>
          <w:p w:rsidR="005D2F29" w:rsidRPr="001237D2" w:rsidRDefault="005D2F29" w:rsidP="005D2F29">
            <w:pPr>
              <w:spacing w:line="276" w:lineRule="auto"/>
              <w:rPr>
                <w:rFonts w:ascii="Calibri" w:hAnsi="Calibri"/>
                <w:sz w:val="22"/>
                <w:szCs w:val="22"/>
                <w:lang w:eastAsia="en-US"/>
              </w:rPr>
            </w:pPr>
          </w:p>
        </w:tc>
        <w:tc>
          <w:tcPr>
            <w:tcW w:w="753"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jc w:val="center"/>
              <w:rPr>
                <w:sz w:val="22"/>
                <w:szCs w:val="22"/>
                <w:lang w:eastAsia="en-US"/>
              </w:rPr>
            </w:pPr>
            <w:r w:rsidRPr="001237D2">
              <w:rPr>
                <w:sz w:val="22"/>
                <w:szCs w:val="22"/>
                <w:lang w:eastAsia="en-US"/>
              </w:rPr>
              <w:t>1</w:t>
            </w:r>
          </w:p>
        </w:tc>
        <w:tc>
          <w:tcPr>
            <w:tcW w:w="897"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jc w:val="center"/>
              <w:rPr>
                <w:sz w:val="22"/>
                <w:szCs w:val="22"/>
                <w:lang w:eastAsia="en-US"/>
              </w:rPr>
            </w:pPr>
          </w:p>
        </w:tc>
      </w:tr>
      <w:tr w:rsidR="005D2F29" w:rsidRPr="001237D2" w:rsidTr="005D2F29">
        <w:tc>
          <w:tcPr>
            <w:tcW w:w="252"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4</w:t>
            </w:r>
          </w:p>
        </w:tc>
        <w:tc>
          <w:tcPr>
            <w:tcW w:w="1169"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г. Балахна</w:t>
            </w:r>
          </w:p>
        </w:tc>
        <w:tc>
          <w:tcPr>
            <w:tcW w:w="1003"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3</w:t>
            </w:r>
          </w:p>
        </w:tc>
        <w:tc>
          <w:tcPr>
            <w:tcW w:w="926" w:type="pct"/>
            <w:tcBorders>
              <w:top w:val="single" w:sz="4" w:space="0" w:color="auto"/>
              <w:left w:val="single" w:sz="4" w:space="0" w:color="auto"/>
              <w:bottom w:val="single" w:sz="4" w:space="0" w:color="auto"/>
              <w:right w:val="single" w:sz="4" w:space="0" w:color="auto"/>
            </w:tcBorders>
            <w:vAlign w:val="bottom"/>
          </w:tcPr>
          <w:p w:rsidR="005D2F29" w:rsidRPr="001237D2" w:rsidRDefault="005D2F29" w:rsidP="005D2F29">
            <w:pPr>
              <w:spacing w:line="276" w:lineRule="auto"/>
              <w:rPr>
                <w:rFonts w:ascii="Calibri" w:hAnsi="Calibri"/>
                <w:sz w:val="22"/>
                <w:szCs w:val="22"/>
                <w:lang w:eastAsia="en-US"/>
              </w:rPr>
            </w:pPr>
          </w:p>
        </w:tc>
        <w:tc>
          <w:tcPr>
            <w:tcW w:w="753"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pacing w:line="276" w:lineRule="auto"/>
              <w:rPr>
                <w:rFonts w:ascii="Calibri" w:hAnsi="Calibri"/>
                <w:sz w:val="22"/>
                <w:szCs w:val="22"/>
                <w:lang w:eastAsia="en-US"/>
              </w:rPr>
            </w:pPr>
          </w:p>
        </w:tc>
        <w:tc>
          <w:tcPr>
            <w:tcW w:w="897"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jc w:val="center"/>
              <w:rPr>
                <w:sz w:val="22"/>
                <w:szCs w:val="22"/>
                <w:lang w:eastAsia="en-US"/>
              </w:rPr>
            </w:pPr>
          </w:p>
        </w:tc>
      </w:tr>
      <w:tr w:rsidR="005D2F29" w:rsidRPr="001237D2" w:rsidTr="005D2F29">
        <w:tc>
          <w:tcPr>
            <w:tcW w:w="252"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rPr>
                <w:sz w:val="22"/>
                <w:szCs w:val="22"/>
                <w:lang w:eastAsia="en-US"/>
              </w:rPr>
            </w:pPr>
            <w:r w:rsidRPr="001237D2">
              <w:rPr>
                <w:sz w:val="22"/>
                <w:szCs w:val="22"/>
                <w:lang w:eastAsia="en-US"/>
              </w:rPr>
              <w:t>5</w:t>
            </w:r>
          </w:p>
        </w:tc>
        <w:tc>
          <w:tcPr>
            <w:tcW w:w="1169"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Большемурашкинский район</w:t>
            </w:r>
          </w:p>
        </w:tc>
        <w:tc>
          <w:tcPr>
            <w:tcW w:w="1003"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pacing w:line="276" w:lineRule="auto"/>
              <w:rPr>
                <w:rFonts w:ascii="Calibri" w:hAnsi="Calibri"/>
                <w:sz w:val="22"/>
                <w:szCs w:val="22"/>
                <w:lang w:eastAsia="en-US"/>
              </w:rPr>
            </w:pPr>
          </w:p>
        </w:tc>
        <w:tc>
          <w:tcPr>
            <w:tcW w:w="926" w:type="pct"/>
            <w:tcBorders>
              <w:top w:val="single" w:sz="4" w:space="0" w:color="auto"/>
              <w:left w:val="single" w:sz="4" w:space="0" w:color="auto"/>
              <w:bottom w:val="single" w:sz="4" w:space="0" w:color="auto"/>
              <w:right w:val="single" w:sz="4" w:space="0" w:color="auto"/>
            </w:tcBorders>
            <w:vAlign w:val="bottom"/>
          </w:tcPr>
          <w:p w:rsidR="005D2F29" w:rsidRPr="001237D2" w:rsidRDefault="005D2F29" w:rsidP="005D2F29">
            <w:pPr>
              <w:spacing w:line="276" w:lineRule="auto"/>
              <w:rPr>
                <w:rFonts w:ascii="Calibri" w:hAnsi="Calibri"/>
                <w:sz w:val="22"/>
                <w:szCs w:val="22"/>
                <w:lang w:eastAsia="en-US"/>
              </w:rPr>
            </w:pPr>
          </w:p>
        </w:tc>
        <w:tc>
          <w:tcPr>
            <w:tcW w:w="753"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jc w:val="center"/>
              <w:rPr>
                <w:sz w:val="22"/>
                <w:szCs w:val="22"/>
                <w:lang w:eastAsia="en-US"/>
              </w:rPr>
            </w:pPr>
            <w:r w:rsidRPr="001237D2">
              <w:rPr>
                <w:sz w:val="22"/>
                <w:szCs w:val="22"/>
                <w:lang w:eastAsia="en-US"/>
              </w:rPr>
              <w:t>2</w:t>
            </w:r>
          </w:p>
        </w:tc>
        <w:tc>
          <w:tcPr>
            <w:tcW w:w="897"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jc w:val="center"/>
              <w:rPr>
                <w:sz w:val="22"/>
                <w:szCs w:val="22"/>
                <w:lang w:eastAsia="en-US"/>
              </w:rPr>
            </w:pPr>
          </w:p>
        </w:tc>
      </w:tr>
      <w:tr w:rsidR="005D2F29" w:rsidRPr="001237D2" w:rsidTr="005D2F29">
        <w:tc>
          <w:tcPr>
            <w:tcW w:w="252"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pacing w:line="276" w:lineRule="auto"/>
              <w:rPr>
                <w:rFonts w:ascii="Calibri" w:hAnsi="Calibri"/>
                <w:sz w:val="22"/>
                <w:szCs w:val="22"/>
                <w:lang w:eastAsia="en-US"/>
              </w:rPr>
            </w:pPr>
          </w:p>
        </w:tc>
        <w:tc>
          <w:tcPr>
            <w:tcW w:w="1169" w:type="pct"/>
            <w:tcBorders>
              <w:top w:val="single" w:sz="4" w:space="0" w:color="auto"/>
              <w:left w:val="single" w:sz="4" w:space="0" w:color="auto"/>
              <w:bottom w:val="single" w:sz="4" w:space="0" w:color="auto"/>
              <w:right w:val="single" w:sz="4" w:space="0" w:color="auto"/>
            </w:tcBorders>
          </w:tcPr>
          <w:p w:rsidR="005D2F29" w:rsidRPr="001237D2" w:rsidRDefault="007C07BB" w:rsidP="005D2F29">
            <w:pPr>
              <w:suppressAutoHyphens/>
              <w:spacing w:before="20" w:after="20"/>
              <w:ind w:left="57"/>
              <w:rPr>
                <w:sz w:val="22"/>
                <w:szCs w:val="22"/>
                <w:lang w:eastAsia="en-US"/>
              </w:rPr>
            </w:pPr>
            <w:r>
              <w:rPr>
                <w:sz w:val="22"/>
                <w:szCs w:val="22"/>
                <w:lang w:eastAsia="en-US"/>
              </w:rPr>
              <w:t xml:space="preserve">Всего по области </w:t>
            </w:r>
            <w:r w:rsidR="005D2F29" w:rsidRPr="001237D2">
              <w:rPr>
                <w:sz w:val="22"/>
                <w:szCs w:val="22"/>
                <w:lang w:eastAsia="en-US"/>
              </w:rPr>
              <w:t>проб с превышением ПДК</w:t>
            </w:r>
          </w:p>
        </w:tc>
        <w:tc>
          <w:tcPr>
            <w:tcW w:w="1003"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jc w:val="center"/>
              <w:rPr>
                <w:sz w:val="22"/>
                <w:szCs w:val="22"/>
                <w:lang w:eastAsia="en-US"/>
              </w:rPr>
            </w:pPr>
            <w:r w:rsidRPr="001237D2">
              <w:rPr>
                <w:sz w:val="22"/>
                <w:szCs w:val="22"/>
                <w:lang w:eastAsia="en-US"/>
              </w:rPr>
              <w:t>4</w:t>
            </w:r>
          </w:p>
        </w:tc>
        <w:tc>
          <w:tcPr>
            <w:tcW w:w="926"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4</w:t>
            </w:r>
          </w:p>
        </w:tc>
        <w:tc>
          <w:tcPr>
            <w:tcW w:w="753"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jc w:val="center"/>
              <w:rPr>
                <w:sz w:val="22"/>
                <w:szCs w:val="22"/>
                <w:lang w:eastAsia="en-US"/>
              </w:rPr>
            </w:pPr>
            <w:r w:rsidRPr="001237D2">
              <w:rPr>
                <w:sz w:val="22"/>
                <w:szCs w:val="22"/>
                <w:lang w:eastAsia="en-US"/>
              </w:rPr>
              <w:t>3</w:t>
            </w:r>
          </w:p>
        </w:tc>
        <w:tc>
          <w:tcPr>
            <w:tcW w:w="897"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jc w:val="center"/>
              <w:rPr>
                <w:sz w:val="22"/>
                <w:szCs w:val="22"/>
                <w:lang w:eastAsia="en-US"/>
              </w:rPr>
            </w:pPr>
            <w:r w:rsidRPr="001237D2">
              <w:rPr>
                <w:sz w:val="22"/>
                <w:szCs w:val="22"/>
                <w:lang w:eastAsia="en-US"/>
              </w:rPr>
              <w:t>2</w:t>
            </w:r>
          </w:p>
        </w:tc>
      </w:tr>
    </w:tbl>
    <w:p w:rsidR="005D2F29" w:rsidRPr="007C07BB" w:rsidRDefault="005D2F29" w:rsidP="005D2F29">
      <w:pPr>
        <w:rPr>
          <w:sz w:val="16"/>
          <w:szCs w:val="16"/>
        </w:rPr>
      </w:pPr>
    </w:p>
    <w:p w:rsidR="005D2F29" w:rsidRDefault="005D2F29" w:rsidP="005D2F29">
      <w:pPr>
        <w:jc w:val="right"/>
      </w:pPr>
      <w:r w:rsidRPr="00391C26">
        <w:t>Таблица №14</w:t>
      </w:r>
    </w:p>
    <w:p w:rsidR="005D2F29" w:rsidRPr="007C07BB" w:rsidRDefault="005D2F29" w:rsidP="005D2F29">
      <w:pPr>
        <w:jc w:val="right"/>
        <w:rPr>
          <w:i/>
          <w:sz w:val="16"/>
          <w:szCs w:val="16"/>
        </w:rPr>
      </w:pPr>
    </w:p>
    <w:p w:rsidR="005D2F29" w:rsidRPr="00391C26" w:rsidRDefault="005D2F29" w:rsidP="005D2F29">
      <w:pPr>
        <w:jc w:val="center"/>
        <w:rPr>
          <w:b/>
        </w:rPr>
      </w:pPr>
      <w:r w:rsidRPr="00391C26">
        <w:rPr>
          <w:b/>
        </w:rPr>
        <w:t>Динамика качества атмосферного воздуха в крупных</w:t>
      </w:r>
    </w:p>
    <w:p w:rsidR="005D2F29" w:rsidRPr="00391C26" w:rsidRDefault="005D2F29" w:rsidP="005D2F29">
      <w:pPr>
        <w:jc w:val="center"/>
        <w:rPr>
          <w:b/>
        </w:rPr>
      </w:pPr>
      <w:r w:rsidRPr="00391C26">
        <w:rPr>
          <w:b/>
        </w:rPr>
        <w:t>населённых пунктах  Нижегородской области за 2017-2019 годы</w:t>
      </w:r>
    </w:p>
    <w:p w:rsidR="005D2F29" w:rsidRPr="007C07BB" w:rsidRDefault="005D2F29" w:rsidP="005D2F29">
      <w:pPr>
        <w:ind w:left="360"/>
        <w:jc w:val="center"/>
        <w:rPr>
          <w:sz w:val="16"/>
          <w:szCs w:val="16"/>
          <w:highlight w:val="green"/>
        </w:rPr>
      </w:pP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
        <w:gridCol w:w="3347"/>
        <w:gridCol w:w="1960"/>
        <w:gridCol w:w="1235"/>
        <w:gridCol w:w="1229"/>
      </w:tblGrid>
      <w:tr w:rsidR="005D2F29" w:rsidRPr="001237D2" w:rsidTr="005D2F29">
        <w:trPr>
          <w:trHeight w:val="276"/>
          <w:jc w:val="center"/>
        </w:trPr>
        <w:tc>
          <w:tcPr>
            <w:tcW w:w="301" w:type="pct"/>
            <w:vMerge w:val="restar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Lines="20" w:afterLines="20"/>
              <w:ind w:left="57"/>
              <w:jc w:val="center"/>
              <w:rPr>
                <w:sz w:val="22"/>
                <w:szCs w:val="22"/>
                <w:lang w:eastAsia="en-US"/>
              </w:rPr>
            </w:pPr>
            <w:r w:rsidRPr="001237D2">
              <w:rPr>
                <w:sz w:val="22"/>
                <w:szCs w:val="22"/>
                <w:lang w:eastAsia="en-US"/>
              </w:rPr>
              <w:t>№</w:t>
            </w:r>
          </w:p>
        </w:tc>
        <w:tc>
          <w:tcPr>
            <w:tcW w:w="2024" w:type="pct"/>
            <w:vMerge w:val="restar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Территория</w:t>
            </w:r>
          </w:p>
        </w:tc>
        <w:tc>
          <w:tcPr>
            <w:tcW w:w="2675" w:type="pct"/>
            <w:gridSpan w:val="3"/>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Удельный вес проб с превышением ПДК</w:t>
            </w:r>
          </w:p>
        </w:tc>
      </w:tr>
      <w:tr w:rsidR="005D2F29" w:rsidRPr="001237D2" w:rsidTr="005D2F29">
        <w:trPr>
          <w:trHeight w:val="160"/>
          <w:jc w:val="center"/>
        </w:trPr>
        <w:tc>
          <w:tcPr>
            <w:tcW w:w="301" w:type="pct"/>
            <w:vMerge/>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rPr>
                <w:sz w:val="22"/>
                <w:szCs w:val="22"/>
                <w:lang w:eastAsia="en-US"/>
              </w:rPr>
            </w:pPr>
          </w:p>
        </w:tc>
        <w:tc>
          <w:tcPr>
            <w:tcW w:w="2024" w:type="pct"/>
            <w:vMerge/>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rPr>
                <w:sz w:val="22"/>
                <w:szCs w:val="22"/>
                <w:lang w:eastAsia="en-US"/>
              </w:rPr>
            </w:pPr>
          </w:p>
        </w:tc>
        <w:tc>
          <w:tcPr>
            <w:tcW w:w="1185"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2017 год</w:t>
            </w:r>
          </w:p>
        </w:tc>
        <w:tc>
          <w:tcPr>
            <w:tcW w:w="747"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2018 год</w:t>
            </w:r>
          </w:p>
        </w:tc>
        <w:tc>
          <w:tcPr>
            <w:tcW w:w="744"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2019</w:t>
            </w:r>
          </w:p>
        </w:tc>
      </w:tr>
      <w:tr w:rsidR="005D2F29" w:rsidRPr="001237D2" w:rsidTr="005D2F29">
        <w:trPr>
          <w:jc w:val="center"/>
        </w:trPr>
        <w:tc>
          <w:tcPr>
            <w:tcW w:w="301" w:type="pct"/>
            <w:tcBorders>
              <w:top w:val="single" w:sz="4" w:space="0" w:color="auto"/>
              <w:left w:val="single" w:sz="4" w:space="0" w:color="auto"/>
              <w:bottom w:val="single" w:sz="4" w:space="0" w:color="auto"/>
              <w:right w:val="single" w:sz="4" w:space="0" w:color="auto"/>
            </w:tcBorders>
          </w:tcPr>
          <w:p w:rsidR="005D2F29" w:rsidRPr="001237D2" w:rsidRDefault="005D2F29" w:rsidP="004638B2">
            <w:pPr>
              <w:numPr>
                <w:ilvl w:val="0"/>
                <w:numId w:val="2"/>
              </w:numPr>
              <w:suppressAutoHyphens/>
              <w:spacing w:beforeLines="20" w:afterLines="20"/>
              <w:jc w:val="center"/>
              <w:rPr>
                <w:sz w:val="22"/>
                <w:szCs w:val="22"/>
                <w:lang w:eastAsia="en-US"/>
              </w:rPr>
            </w:pPr>
          </w:p>
        </w:tc>
        <w:tc>
          <w:tcPr>
            <w:tcW w:w="2024"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г. Н. Новгород</w:t>
            </w:r>
          </w:p>
        </w:tc>
        <w:tc>
          <w:tcPr>
            <w:tcW w:w="1185"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0,02</w:t>
            </w:r>
          </w:p>
        </w:tc>
        <w:tc>
          <w:tcPr>
            <w:tcW w:w="747"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w:t>
            </w:r>
          </w:p>
        </w:tc>
        <w:tc>
          <w:tcPr>
            <w:tcW w:w="744"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w:t>
            </w:r>
          </w:p>
        </w:tc>
      </w:tr>
      <w:tr w:rsidR="005D2F29" w:rsidRPr="001237D2" w:rsidTr="005D2F29">
        <w:trPr>
          <w:jc w:val="center"/>
        </w:trPr>
        <w:tc>
          <w:tcPr>
            <w:tcW w:w="301" w:type="pct"/>
            <w:tcBorders>
              <w:top w:val="single" w:sz="4" w:space="0" w:color="auto"/>
              <w:left w:val="single" w:sz="4" w:space="0" w:color="auto"/>
              <w:bottom w:val="single" w:sz="4" w:space="0" w:color="auto"/>
              <w:right w:val="single" w:sz="4" w:space="0" w:color="auto"/>
            </w:tcBorders>
          </w:tcPr>
          <w:p w:rsidR="005D2F29" w:rsidRPr="001237D2" w:rsidRDefault="005D2F29" w:rsidP="004638B2">
            <w:pPr>
              <w:numPr>
                <w:ilvl w:val="0"/>
                <w:numId w:val="2"/>
              </w:numPr>
              <w:suppressAutoHyphens/>
              <w:spacing w:beforeLines="20" w:afterLines="20"/>
              <w:jc w:val="center"/>
              <w:rPr>
                <w:sz w:val="22"/>
                <w:szCs w:val="22"/>
                <w:lang w:eastAsia="en-US"/>
              </w:rPr>
            </w:pPr>
          </w:p>
        </w:tc>
        <w:tc>
          <w:tcPr>
            <w:tcW w:w="2024"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г. Кстово</w:t>
            </w:r>
          </w:p>
        </w:tc>
        <w:tc>
          <w:tcPr>
            <w:tcW w:w="1185"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0,09</w:t>
            </w:r>
          </w:p>
        </w:tc>
        <w:tc>
          <w:tcPr>
            <w:tcW w:w="747"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0,03</w:t>
            </w:r>
          </w:p>
        </w:tc>
        <w:tc>
          <w:tcPr>
            <w:tcW w:w="744"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0,05</w:t>
            </w:r>
          </w:p>
        </w:tc>
      </w:tr>
      <w:tr w:rsidR="005D2F29" w:rsidRPr="001237D2" w:rsidTr="005D2F29">
        <w:trPr>
          <w:jc w:val="center"/>
        </w:trPr>
        <w:tc>
          <w:tcPr>
            <w:tcW w:w="301" w:type="pct"/>
            <w:tcBorders>
              <w:top w:val="single" w:sz="4" w:space="0" w:color="auto"/>
              <w:left w:val="single" w:sz="4" w:space="0" w:color="auto"/>
              <w:bottom w:val="single" w:sz="4" w:space="0" w:color="auto"/>
              <w:right w:val="single" w:sz="4" w:space="0" w:color="auto"/>
            </w:tcBorders>
          </w:tcPr>
          <w:p w:rsidR="005D2F29" w:rsidRPr="001237D2" w:rsidRDefault="005D2F29" w:rsidP="004638B2">
            <w:pPr>
              <w:numPr>
                <w:ilvl w:val="0"/>
                <w:numId w:val="2"/>
              </w:numPr>
              <w:suppressAutoHyphens/>
              <w:spacing w:beforeLines="20" w:afterLines="20"/>
              <w:jc w:val="center"/>
              <w:rPr>
                <w:sz w:val="22"/>
                <w:szCs w:val="22"/>
                <w:lang w:eastAsia="en-US"/>
              </w:rPr>
            </w:pPr>
          </w:p>
        </w:tc>
        <w:tc>
          <w:tcPr>
            <w:tcW w:w="2024"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г. Володарск</w:t>
            </w:r>
          </w:p>
        </w:tc>
        <w:tc>
          <w:tcPr>
            <w:tcW w:w="1185"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w:t>
            </w:r>
          </w:p>
        </w:tc>
        <w:tc>
          <w:tcPr>
            <w:tcW w:w="747"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w:t>
            </w:r>
          </w:p>
        </w:tc>
        <w:tc>
          <w:tcPr>
            <w:tcW w:w="744"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1,1</w:t>
            </w:r>
          </w:p>
        </w:tc>
      </w:tr>
      <w:tr w:rsidR="005D2F29" w:rsidRPr="001237D2" w:rsidTr="005D2F29">
        <w:trPr>
          <w:jc w:val="center"/>
        </w:trPr>
        <w:tc>
          <w:tcPr>
            <w:tcW w:w="301" w:type="pct"/>
            <w:tcBorders>
              <w:top w:val="single" w:sz="4" w:space="0" w:color="auto"/>
              <w:left w:val="single" w:sz="4" w:space="0" w:color="auto"/>
              <w:bottom w:val="single" w:sz="4" w:space="0" w:color="auto"/>
              <w:right w:val="single" w:sz="4" w:space="0" w:color="auto"/>
            </w:tcBorders>
          </w:tcPr>
          <w:p w:rsidR="005D2F29" w:rsidRPr="001237D2" w:rsidRDefault="005D2F29" w:rsidP="004638B2">
            <w:pPr>
              <w:numPr>
                <w:ilvl w:val="0"/>
                <w:numId w:val="2"/>
              </w:numPr>
              <w:suppressAutoHyphens/>
              <w:spacing w:beforeLines="20" w:afterLines="20"/>
              <w:jc w:val="center"/>
              <w:rPr>
                <w:sz w:val="22"/>
                <w:szCs w:val="22"/>
                <w:lang w:eastAsia="en-US"/>
              </w:rPr>
            </w:pPr>
          </w:p>
        </w:tc>
        <w:tc>
          <w:tcPr>
            <w:tcW w:w="2024"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г. Выкса</w:t>
            </w:r>
          </w:p>
        </w:tc>
        <w:tc>
          <w:tcPr>
            <w:tcW w:w="1185"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1,5</w:t>
            </w:r>
          </w:p>
        </w:tc>
        <w:tc>
          <w:tcPr>
            <w:tcW w:w="747"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4,57</w:t>
            </w:r>
          </w:p>
        </w:tc>
        <w:tc>
          <w:tcPr>
            <w:tcW w:w="744"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w:t>
            </w:r>
          </w:p>
        </w:tc>
      </w:tr>
      <w:tr w:rsidR="005D2F29" w:rsidRPr="001237D2" w:rsidTr="005D2F29">
        <w:trPr>
          <w:jc w:val="center"/>
        </w:trPr>
        <w:tc>
          <w:tcPr>
            <w:tcW w:w="301" w:type="pct"/>
            <w:tcBorders>
              <w:top w:val="single" w:sz="4" w:space="0" w:color="auto"/>
              <w:left w:val="single" w:sz="4" w:space="0" w:color="auto"/>
              <w:bottom w:val="single" w:sz="4" w:space="0" w:color="auto"/>
              <w:right w:val="single" w:sz="4" w:space="0" w:color="auto"/>
            </w:tcBorders>
          </w:tcPr>
          <w:p w:rsidR="005D2F29" w:rsidRPr="001237D2" w:rsidRDefault="005D2F29" w:rsidP="004638B2">
            <w:pPr>
              <w:numPr>
                <w:ilvl w:val="0"/>
                <w:numId w:val="2"/>
              </w:numPr>
              <w:suppressAutoHyphens/>
              <w:spacing w:beforeLines="20" w:afterLines="20"/>
              <w:jc w:val="center"/>
              <w:rPr>
                <w:sz w:val="22"/>
                <w:szCs w:val="22"/>
                <w:lang w:eastAsia="en-US"/>
              </w:rPr>
            </w:pPr>
          </w:p>
        </w:tc>
        <w:tc>
          <w:tcPr>
            <w:tcW w:w="2024"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г. Бор</w:t>
            </w:r>
          </w:p>
        </w:tc>
        <w:tc>
          <w:tcPr>
            <w:tcW w:w="1185"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w:t>
            </w:r>
          </w:p>
        </w:tc>
        <w:tc>
          <w:tcPr>
            <w:tcW w:w="747"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0,12</w:t>
            </w:r>
          </w:p>
        </w:tc>
        <w:tc>
          <w:tcPr>
            <w:tcW w:w="744"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0,13</w:t>
            </w:r>
          </w:p>
        </w:tc>
      </w:tr>
      <w:tr w:rsidR="005D2F29" w:rsidRPr="001237D2" w:rsidTr="005D2F29">
        <w:trPr>
          <w:jc w:val="center"/>
        </w:trPr>
        <w:tc>
          <w:tcPr>
            <w:tcW w:w="301" w:type="pct"/>
            <w:tcBorders>
              <w:top w:val="single" w:sz="4" w:space="0" w:color="auto"/>
              <w:left w:val="single" w:sz="4" w:space="0" w:color="auto"/>
              <w:bottom w:val="single" w:sz="4" w:space="0" w:color="auto"/>
              <w:right w:val="single" w:sz="4" w:space="0" w:color="auto"/>
            </w:tcBorders>
          </w:tcPr>
          <w:p w:rsidR="005D2F29" w:rsidRPr="001237D2" w:rsidRDefault="005D2F29" w:rsidP="004638B2">
            <w:pPr>
              <w:numPr>
                <w:ilvl w:val="0"/>
                <w:numId w:val="2"/>
              </w:numPr>
              <w:suppressAutoHyphens/>
              <w:spacing w:beforeLines="20" w:afterLines="20"/>
              <w:jc w:val="center"/>
              <w:rPr>
                <w:sz w:val="22"/>
                <w:szCs w:val="22"/>
                <w:lang w:eastAsia="en-US"/>
              </w:rPr>
            </w:pPr>
          </w:p>
        </w:tc>
        <w:tc>
          <w:tcPr>
            <w:tcW w:w="2024"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г. Балахна</w:t>
            </w:r>
          </w:p>
        </w:tc>
        <w:tc>
          <w:tcPr>
            <w:tcW w:w="1185"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w:t>
            </w:r>
          </w:p>
        </w:tc>
        <w:tc>
          <w:tcPr>
            <w:tcW w:w="747"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w:t>
            </w:r>
          </w:p>
        </w:tc>
        <w:tc>
          <w:tcPr>
            <w:tcW w:w="744"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0,5</w:t>
            </w:r>
          </w:p>
        </w:tc>
      </w:tr>
      <w:tr w:rsidR="005D2F29" w:rsidRPr="001237D2" w:rsidTr="005D2F29">
        <w:trPr>
          <w:jc w:val="center"/>
        </w:trPr>
        <w:tc>
          <w:tcPr>
            <w:tcW w:w="301" w:type="pct"/>
            <w:tcBorders>
              <w:top w:val="single" w:sz="4" w:space="0" w:color="auto"/>
              <w:left w:val="single" w:sz="4" w:space="0" w:color="auto"/>
              <w:bottom w:val="single" w:sz="4" w:space="0" w:color="auto"/>
              <w:right w:val="single" w:sz="4" w:space="0" w:color="auto"/>
            </w:tcBorders>
          </w:tcPr>
          <w:p w:rsidR="005D2F29" w:rsidRPr="001237D2" w:rsidRDefault="005D2F29" w:rsidP="004638B2">
            <w:pPr>
              <w:numPr>
                <w:ilvl w:val="0"/>
                <w:numId w:val="2"/>
              </w:numPr>
              <w:suppressAutoHyphens/>
              <w:spacing w:beforeLines="20" w:afterLines="20"/>
              <w:jc w:val="center"/>
              <w:rPr>
                <w:sz w:val="22"/>
                <w:szCs w:val="22"/>
                <w:lang w:eastAsia="en-US"/>
              </w:rPr>
            </w:pPr>
          </w:p>
        </w:tc>
        <w:tc>
          <w:tcPr>
            <w:tcW w:w="2024"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Большемурашкинский район</w:t>
            </w:r>
          </w:p>
        </w:tc>
        <w:tc>
          <w:tcPr>
            <w:tcW w:w="1185"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w:t>
            </w:r>
          </w:p>
        </w:tc>
        <w:tc>
          <w:tcPr>
            <w:tcW w:w="747"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0,0</w:t>
            </w:r>
          </w:p>
        </w:tc>
        <w:tc>
          <w:tcPr>
            <w:tcW w:w="744"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lang w:eastAsia="en-US"/>
              </w:rPr>
            </w:pPr>
            <w:r w:rsidRPr="001237D2">
              <w:rPr>
                <w:sz w:val="22"/>
                <w:szCs w:val="22"/>
                <w:lang w:eastAsia="en-US"/>
              </w:rPr>
              <w:t>1,5</w:t>
            </w:r>
          </w:p>
        </w:tc>
      </w:tr>
      <w:tr w:rsidR="005D2F29" w:rsidRPr="001237D2" w:rsidTr="005D2F29">
        <w:trPr>
          <w:jc w:val="center"/>
        </w:trPr>
        <w:tc>
          <w:tcPr>
            <w:tcW w:w="301" w:type="pct"/>
            <w:tcBorders>
              <w:top w:val="single" w:sz="4" w:space="0" w:color="auto"/>
              <w:left w:val="single" w:sz="4" w:space="0" w:color="auto"/>
              <w:bottom w:val="single" w:sz="4" w:space="0" w:color="auto"/>
              <w:right w:val="single" w:sz="4" w:space="0" w:color="auto"/>
            </w:tcBorders>
          </w:tcPr>
          <w:p w:rsidR="005D2F29" w:rsidRPr="001237D2" w:rsidRDefault="005D2F29" w:rsidP="004638B2">
            <w:pPr>
              <w:numPr>
                <w:ilvl w:val="0"/>
                <w:numId w:val="2"/>
              </w:numPr>
              <w:suppressAutoHyphens/>
              <w:spacing w:beforeLines="20" w:afterLines="20"/>
              <w:jc w:val="center"/>
              <w:rPr>
                <w:sz w:val="22"/>
                <w:szCs w:val="22"/>
                <w:lang w:eastAsia="en-US"/>
              </w:rPr>
            </w:pPr>
          </w:p>
        </w:tc>
        <w:tc>
          <w:tcPr>
            <w:tcW w:w="2024" w:type="pct"/>
            <w:tcBorders>
              <w:top w:val="single" w:sz="4" w:space="0" w:color="auto"/>
              <w:left w:val="single" w:sz="4" w:space="0" w:color="auto"/>
              <w:bottom w:val="single" w:sz="4" w:space="0" w:color="auto"/>
              <w:right w:val="single" w:sz="4" w:space="0" w:color="auto"/>
            </w:tcBorders>
          </w:tcPr>
          <w:p w:rsidR="005D2F29" w:rsidRPr="001237D2" w:rsidRDefault="005D2F29" w:rsidP="005D2F29">
            <w:pPr>
              <w:suppressAutoHyphens/>
              <w:spacing w:before="20" w:after="20"/>
              <w:ind w:left="57"/>
              <w:rPr>
                <w:sz w:val="22"/>
                <w:szCs w:val="22"/>
                <w:lang w:eastAsia="en-US"/>
              </w:rPr>
            </w:pPr>
            <w:r w:rsidRPr="001237D2">
              <w:rPr>
                <w:sz w:val="22"/>
                <w:szCs w:val="22"/>
                <w:lang w:eastAsia="en-US"/>
              </w:rPr>
              <w:t>В целом по области</w:t>
            </w:r>
          </w:p>
        </w:tc>
        <w:tc>
          <w:tcPr>
            <w:tcW w:w="1185"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highlight w:val="green"/>
                <w:lang w:eastAsia="en-US"/>
              </w:rPr>
            </w:pPr>
            <w:r w:rsidRPr="001237D2">
              <w:rPr>
                <w:sz w:val="22"/>
                <w:szCs w:val="22"/>
                <w:lang w:eastAsia="en-US"/>
              </w:rPr>
              <w:t>0,06</w:t>
            </w:r>
          </w:p>
        </w:tc>
        <w:tc>
          <w:tcPr>
            <w:tcW w:w="747"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highlight w:val="green"/>
                <w:lang w:eastAsia="en-US"/>
              </w:rPr>
            </w:pPr>
            <w:r w:rsidRPr="001237D2">
              <w:rPr>
                <w:sz w:val="22"/>
                <w:szCs w:val="22"/>
                <w:lang w:eastAsia="en-US"/>
              </w:rPr>
              <w:t>0,08</w:t>
            </w:r>
          </w:p>
        </w:tc>
        <w:tc>
          <w:tcPr>
            <w:tcW w:w="744" w:type="pct"/>
            <w:tcBorders>
              <w:top w:val="single" w:sz="4" w:space="0" w:color="auto"/>
              <w:left w:val="single" w:sz="4" w:space="0" w:color="auto"/>
              <w:bottom w:val="single" w:sz="4" w:space="0" w:color="auto"/>
              <w:right w:val="single" w:sz="4" w:space="0" w:color="auto"/>
            </w:tcBorders>
            <w:vAlign w:val="center"/>
          </w:tcPr>
          <w:p w:rsidR="005D2F29" w:rsidRPr="001237D2" w:rsidRDefault="005D2F29" w:rsidP="005D2F29">
            <w:pPr>
              <w:suppressAutoHyphens/>
              <w:spacing w:before="20" w:after="20"/>
              <w:ind w:left="57"/>
              <w:jc w:val="center"/>
              <w:rPr>
                <w:sz w:val="22"/>
                <w:szCs w:val="22"/>
                <w:highlight w:val="green"/>
                <w:lang w:eastAsia="en-US"/>
              </w:rPr>
            </w:pPr>
            <w:r w:rsidRPr="001237D2">
              <w:rPr>
                <w:sz w:val="22"/>
                <w:szCs w:val="22"/>
                <w:lang w:eastAsia="en-US"/>
              </w:rPr>
              <w:t>0,06</w:t>
            </w:r>
          </w:p>
        </w:tc>
      </w:tr>
    </w:tbl>
    <w:p w:rsidR="005D2F29" w:rsidRPr="007C07BB" w:rsidRDefault="005D2F29" w:rsidP="005D2F29">
      <w:pPr>
        <w:ind w:firstLine="708"/>
        <w:rPr>
          <w:sz w:val="16"/>
          <w:szCs w:val="16"/>
        </w:rPr>
      </w:pPr>
    </w:p>
    <w:p w:rsidR="005D2F29" w:rsidRPr="00391C26" w:rsidRDefault="005D2F29" w:rsidP="007C07BB">
      <w:pPr>
        <w:ind w:firstLine="708"/>
        <w:jc w:val="both"/>
      </w:pPr>
      <w:r w:rsidRPr="00391C26">
        <w:t>В 2019 году не было отмечено проб с превышением ПДК в городах Н. Новгород, Дзержинск, Выкса, которые являются крупными промышленными центрами Нижегородской области, которым принадлежит значительная доля  в объёме выбросов от стационарных источников.</w:t>
      </w:r>
    </w:p>
    <w:p w:rsidR="005D2F29" w:rsidRPr="00391C26" w:rsidRDefault="005D2F29" w:rsidP="007C07BB">
      <w:pPr>
        <w:ind w:firstLine="708"/>
        <w:jc w:val="both"/>
      </w:pPr>
      <w:r w:rsidRPr="00391C26">
        <w:t>В течение 2019 года была продолжена работа по внедрению ресурсосберегающих и природоохранных мероприятий на предприятиях г. Н. Новгорода,  г. Дзержинска, Кстовского промузла</w:t>
      </w:r>
    </w:p>
    <w:p w:rsidR="005D2F29" w:rsidRPr="00391C26" w:rsidRDefault="005D2F29" w:rsidP="007C07BB">
      <w:pPr>
        <w:ind w:firstLine="708"/>
        <w:jc w:val="both"/>
      </w:pPr>
      <w:r w:rsidRPr="00391C26">
        <w:t>Так, предприятиями Кстовской промзоны в течение 2019 года был выполнен ряд мероприятий для улучшения экологической ситуации на территории г. Кстово.</w:t>
      </w:r>
    </w:p>
    <w:p w:rsidR="005D2F29" w:rsidRPr="00391C26" w:rsidRDefault="005D2F29" w:rsidP="007C07BB">
      <w:pPr>
        <w:ind w:firstLine="708"/>
        <w:jc w:val="both"/>
        <w:rPr>
          <w:sz w:val="28"/>
          <w:szCs w:val="28"/>
          <w:highlight w:val="yellow"/>
        </w:rPr>
      </w:pPr>
      <w:r w:rsidRPr="00391C26">
        <w:t>На ООО «СИБУР-Кстово» в течение 2019 года уменьшились объёмы выбросов загрязняющих веществ в атмосферный воздух на 10 % за счёт выведения из эксплуатации 2 устаревших резервуаров бензина и установки понтонов на 4 действующих резервуарах бензина. Также было снижено количество внеплановых остановок производства с выходом на факельное горение.</w:t>
      </w:r>
      <w:r w:rsidRPr="00391C26">
        <w:rPr>
          <w:sz w:val="28"/>
          <w:szCs w:val="28"/>
        </w:rPr>
        <w:t xml:space="preserve"> </w:t>
      </w:r>
      <w:r w:rsidRPr="00391C26">
        <w:t xml:space="preserve">До конца 2020 </w:t>
      </w:r>
      <w:r w:rsidR="007C07BB">
        <w:t>года будет завершена реализация</w:t>
      </w:r>
      <w:r w:rsidRPr="00391C26">
        <w:t xml:space="preserve"> этапа </w:t>
      </w:r>
      <w:r w:rsidRPr="00391C26">
        <w:lastRenderedPageBreak/>
        <w:t>замены оголовка на существующем мачтовом факеле, что позволит достичь бессажевого горения в объёме до 100 т/ч. На следующем этапе планируется строительство современной факельной системы закрытого типа, что обеспечит бессажевое горение в объёме 290 т/ч.</w:t>
      </w:r>
    </w:p>
    <w:p w:rsidR="005D2F29" w:rsidRPr="00391C26" w:rsidRDefault="005D2F29" w:rsidP="007C07BB">
      <w:pPr>
        <w:ind w:firstLine="708"/>
        <w:jc w:val="both"/>
      </w:pPr>
      <w:r w:rsidRPr="00391C26">
        <w:t xml:space="preserve">Строящиеся очистные сооружения,  предназначенные для сбора и очистки сточных вод от производства этилена, пропилена и позволят сократить выбросы в атмосферный воздух от существующих очистных сооружений на 64% за счёт сокращения площади зеркала нефтесборника. Проект планируется завершить в 2021 </w:t>
      </w:r>
      <w:r>
        <w:t>г</w:t>
      </w:r>
      <w:r w:rsidRPr="00391C26">
        <w:t>оду.</w:t>
      </w:r>
    </w:p>
    <w:p w:rsidR="005D2F29" w:rsidRPr="00391C26" w:rsidRDefault="005D2F29" w:rsidP="007C07BB">
      <w:pPr>
        <w:ind w:firstLine="708"/>
        <w:jc w:val="both"/>
      </w:pPr>
      <w:r w:rsidRPr="00391C26">
        <w:t>На ООО «ЛУКОЙЛ-Нижегороднефтеоргсинтез» работы, направленные на снижение уровня загрязнения атмосферного воздуха, проводятся в рамках программы экологическо</w:t>
      </w:r>
      <w:r w:rsidR="007C07BB">
        <w:t xml:space="preserve">й безопасности на предприятии. </w:t>
      </w:r>
      <w:r w:rsidRPr="00391C26">
        <w:t>За 2019 год выбросы составили 16262 тонн в год (при разрешенн</w:t>
      </w:r>
      <w:r w:rsidR="007C07BB">
        <w:t xml:space="preserve">ом уровне в 24500 тонн в год). </w:t>
      </w:r>
      <w:r w:rsidRPr="00391C26">
        <w:t>За минувшие 10 лет сокращение составило 3400 тонн (более 17%), за прошедшие 3 года (2017-2019 г.) удалось достичь суммарного экологического эффекта по сокращению выбросов в атмосферный воздух на 2073 тонн в год.</w:t>
      </w:r>
    </w:p>
    <w:p w:rsidR="005D2F29" w:rsidRPr="00391C26" w:rsidRDefault="005D2F29" w:rsidP="007C07BB">
      <w:pPr>
        <w:ind w:firstLine="708"/>
        <w:jc w:val="both"/>
      </w:pPr>
      <w:r w:rsidRPr="00391C26">
        <w:t>Данные результаты стали возможными за счет:</w:t>
      </w:r>
    </w:p>
    <w:p w:rsidR="005D2F29" w:rsidRPr="00391C26" w:rsidRDefault="005D2F29" w:rsidP="007C07BB">
      <w:pPr>
        <w:jc w:val="both"/>
      </w:pPr>
      <w:r w:rsidRPr="00391C26">
        <w:t>-</w:t>
      </w:r>
      <w:r>
        <w:t> </w:t>
      </w:r>
      <w:r w:rsidRPr="00391C26">
        <w:t>вывода из эксплуатации установок производства смазочных масел в 2017 году;</w:t>
      </w:r>
    </w:p>
    <w:p w:rsidR="005D2F29" w:rsidRPr="00391C26" w:rsidRDefault="005D2F29" w:rsidP="007C07BB">
      <w:pPr>
        <w:jc w:val="both"/>
      </w:pPr>
      <w:r>
        <w:t>- </w:t>
      </w:r>
      <w:r w:rsidRPr="00391C26">
        <w:t>оборудования всех нефтяных и бензиновых резервуаров специальными понтонами;</w:t>
      </w:r>
    </w:p>
    <w:p w:rsidR="005D2F29" w:rsidRPr="00391C26" w:rsidRDefault="005D2F29" w:rsidP="007C07BB">
      <w:pPr>
        <w:jc w:val="both"/>
      </w:pPr>
      <w:r w:rsidRPr="00391C26">
        <w:t>(замена периферийного уплотнения понтона в 2017 году, монтаж понтонов на резервуарах товарно-сырьевого производства в 2018 и 2019 годах);</w:t>
      </w:r>
    </w:p>
    <w:p w:rsidR="005D2F29" w:rsidRPr="00391C26" w:rsidRDefault="005D2F29" w:rsidP="007C07BB">
      <w:pPr>
        <w:jc w:val="both"/>
      </w:pPr>
      <w:r>
        <w:t>- </w:t>
      </w:r>
      <w:r w:rsidRPr="00391C26">
        <w:t>сокращения потребления жидкого топлива и замещение его газом (в пять раз за последние 3 года);</w:t>
      </w:r>
    </w:p>
    <w:p w:rsidR="005D2F29" w:rsidRPr="00391C26" w:rsidRDefault="005D2F29" w:rsidP="007C07BB">
      <w:pPr>
        <w:jc w:val="both"/>
      </w:pPr>
      <w:r>
        <w:t>- </w:t>
      </w:r>
      <w:r w:rsidRPr="00391C26">
        <w:t>строительства схемы отгрузки автобензинов и дизельного топлива в трубопроводную систему Транснефти и т.д.</w:t>
      </w:r>
    </w:p>
    <w:p w:rsidR="005D2F29" w:rsidRPr="00391C26" w:rsidRDefault="005D2F29" w:rsidP="007C07BB">
      <w:pPr>
        <w:ind w:firstLine="708"/>
        <w:jc w:val="both"/>
      </w:pPr>
      <w:r w:rsidRPr="00391C26">
        <w:t>На сегодняшний день предприятием реализуется несколько проектов, направленных на дальнейшее снижение уровня выбросов в атмосферу, наиболее значимые из них:</w:t>
      </w:r>
    </w:p>
    <w:p w:rsidR="005D2F29" w:rsidRPr="00391C26" w:rsidRDefault="005D2F29" w:rsidP="007C07BB">
      <w:pPr>
        <w:jc w:val="both"/>
      </w:pPr>
      <w:r>
        <w:t>- </w:t>
      </w:r>
      <w:r w:rsidRPr="00391C26">
        <w:t>строительство блока очистки газов разложения установок АВТ-5,6, ВТ-2 от сероводорода - позволит снизить выбросы диоксида серы (затраты – более 400 млн. рублей).</w:t>
      </w:r>
    </w:p>
    <w:p w:rsidR="005D2F29" w:rsidRPr="00391C26" w:rsidRDefault="005D2F29" w:rsidP="007C07BB">
      <w:pPr>
        <w:jc w:val="both"/>
      </w:pPr>
      <w:r w:rsidRPr="00391C26">
        <w:t>- исключение потребления жидкого топлива - позволит снизить выбросы загрязняющих веществ.</w:t>
      </w:r>
    </w:p>
    <w:p w:rsidR="005D2F29" w:rsidRPr="00391C26" w:rsidRDefault="005D2F29" w:rsidP="007C07BB">
      <w:pPr>
        <w:ind w:firstLine="708"/>
        <w:jc w:val="both"/>
      </w:pPr>
      <w:r w:rsidRPr="00391C26">
        <w:t>Благодаря реализованным проектам строительства ПКК-1,2 ООО «ЛУКОЙЛ-Нижегороднефтеоргсинтез» с 2012 года выпускает весь объем автомобильных бензинов и дизельного топлива с показателями качества соот</w:t>
      </w:r>
      <w:r w:rsidR="007C07BB">
        <w:t>ветствующими Классу 5 (ЕВРО-5).</w:t>
      </w:r>
    </w:p>
    <w:p w:rsidR="005D2F29" w:rsidRPr="00391C26" w:rsidRDefault="007C07BB" w:rsidP="007C07BB">
      <w:pPr>
        <w:ind w:firstLine="708"/>
        <w:jc w:val="both"/>
      </w:pPr>
      <w:r>
        <w:t xml:space="preserve">Низкое содержание серы </w:t>
      </w:r>
      <w:r w:rsidR="005D2F29" w:rsidRPr="00391C26">
        <w:t>и ароматических углеводородов в моторных топливах сокращает выброс вредных продуктов сгорания в окружающую среду.</w:t>
      </w:r>
    </w:p>
    <w:p w:rsidR="005D2F29" w:rsidRPr="00391C26" w:rsidRDefault="005D2F29" w:rsidP="007C07BB">
      <w:pPr>
        <w:ind w:firstLine="708"/>
        <w:jc w:val="both"/>
      </w:pPr>
      <w:r w:rsidRPr="00391C26">
        <w:t>Все это позволило при «взрывном» росте количества автотранспорта сохранить в крупных городах во</w:t>
      </w:r>
      <w:r w:rsidR="007C07BB">
        <w:t>здух соответствующего качества.</w:t>
      </w:r>
    </w:p>
    <w:p w:rsidR="005D2F29" w:rsidRPr="00391C26" w:rsidRDefault="005D2F29" w:rsidP="007C07BB">
      <w:pPr>
        <w:ind w:firstLine="708"/>
        <w:jc w:val="both"/>
      </w:pPr>
      <w:r w:rsidRPr="00391C26">
        <w:t>В городе Дзержинске за последние 3 года не было зарегистрировано проб атмосферного воздуха с превышением ПДК загрязняющих веществ по данным наблюдений лаборатории ФФБУЗ «Центр гигиены и эпидемиологии в Нижегородской области в Автозаводском, Ленинском районах г. Н. Новгорода, городском округе город Дзержинск, Богородском, Павловском, Вачском, Сосновском, Володарском районах».</w:t>
      </w:r>
    </w:p>
    <w:p w:rsidR="005D2F29" w:rsidRPr="00391C26" w:rsidRDefault="005D2F29" w:rsidP="007C07BB">
      <w:pPr>
        <w:ind w:firstLine="708"/>
        <w:jc w:val="both"/>
      </w:pPr>
      <w:r w:rsidRPr="00391C26">
        <w:t xml:space="preserve">В рамках мониторинга состояния окружающей среды в городе Дзержинске на четырёх стационарных постах ФГБУ «Верхне-Волжское управление по гидрометеорологии и мониторингу окружающей среды» ежедневно отбираются пробы атмосферного воздуха, в которых определяются содержание двенадцати загрязняющих веществ. Два из этих постов расположены в жилой зоне, по одному в промышленных зонах к западу и востоку от центра города. По данным мониторинга в период с 2012 года индекс загрязнения атмосферы </w:t>
      </w:r>
      <w:r w:rsidRPr="00391C26">
        <w:rPr>
          <w:bCs/>
        </w:rPr>
        <w:t>сократился в 3 раза</w:t>
      </w:r>
      <w:r w:rsidRPr="00391C26">
        <w:t xml:space="preserve">, отмечено  уменьшение уровня </w:t>
      </w:r>
      <w:r w:rsidRPr="00391C26">
        <w:lastRenderedPageBreak/>
        <w:t>со</w:t>
      </w:r>
      <w:r w:rsidR="007C07BB">
        <w:t xml:space="preserve">держания в атмосферном воздухе следующих химических веществ: </w:t>
      </w:r>
      <w:r w:rsidRPr="00391C26">
        <w:rPr>
          <w:bCs/>
        </w:rPr>
        <w:t>бенз(а)пирена</w:t>
      </w:r>
      <w:r w:rsidRPr="00391C26">
        <w:t xml:space="preserve">, </w:t>
      </w:r>
      <w:r w:rsidRPr="00391C26">
        <w:rPr>
          <w:bCs/>
        </w:rPr>
        <w:t>хлористого водорода</w:t>
      </w:r>
      <w:r w:rsidRPr="00391C26">
        <w:t xml:space="preserve">, </w:t>
      </w:r>
      <w:r w:rsidRPr="00391C26">
        <w:rPr>
          <w:bCs/>
        </w:rPr>
        <w:t>аммиака</w:t>
      </w:r>
      <w:r w:rsidRPr="00391C26">
        <w:t xml:space="preserve">, </w:t>
      </w:r>
      <w:r w:rsidRPr="00391C26">
        <w:rPr>
          <w:bCs/>
        </w:rPr>
        <w:t>бензола</w:t>
      </w:r>
      <w:r w:rsidRPr="00391C26">
        <w:t>.</w:t>
      </w:r>
    </w:p>
    <w:p w:rsidR="005D2F29" w:rsidRPr="00391C26" w:rsidRDefault="005D2F29" w:rsidP="007C07BB">
      <w:pPr>
        <w:ind w:firstLine="708"/>
        <w:jc w:val="both"/>
      </w:pPr>
      <w:r w:rsidRPr="00391C26">
        <w:t xml:space="preserve">За ряд последних лет в городе Дзержинске закрылось много устаревших предприятий, неблагоприятно влиявших на окружающую среду, были проведены работы по реконструкции производства окиси этилена и гликолей (ПОЭ и Г) ОАО «Сибур-Нефтехим», что привело к сокращению объёма выбросов в 2017- 2019 годах. </w:t>
      </w:r>
    </w:p>
    <w:p w:rsidR="005D2F29" w:rsidRPr="00391C26" w:rsidRDefault="005D2F29" w:rsidP="007C07BB">
      <w:pPr>
        <w:ind w:firstLine="708"/>
        <w:jc w:val="both"/>
      </w:pPr>
      <w:r w:rsidRPr="00391C26">
        <w:t xml:space="preserve">Некоторому улучшению показателей качества атмосферного воздуха в Нижнем Новгороде способствует постепенное улучшение транспортной инфраструктуры – строительство дорог, транспортных развязок, направляющих транзитный транспорт в </w:t>
      </w:r>
      <w:r w:rsidR="007C07BB">
        <w:t xml:space="preserve">обход города, преимущественное </w:t>
      </w:r>
      <w:r w:rsidRPr="00391C26">
        <w:t>использование автомобильных бензинов и дизельного топлива с показателями качества соответствующими Классу 5 (ЕВРО-5).</w:t>
      </w:r>
    </w:p>
    <w:p w:rsidR="005D2F29" w:rsidRPr="007C07BB" w:rsidRDefault="005D2F29" w:rsidP="005D2F29">
      <w:pPr>
        <w:pStyle w:val="a6"/>
        <w:rPr>
          <w:sz w:val="16"/>
          <w:szCs w:val="16"/>
        </w:rPr>
      </w:pPr>
    </w:p>
    <w:p w:rsidR="005D2F29" w:rsidRPr="00391C26" w:rsidRDefault="005D2F29" w:rsidP="005D2F29">
      <w:pPr>
        <w:pStyle w:val="063061"/>
        <w:jc w:val="center"/>
        <w:rPr>
          <w:b/>
          <w:szCs w:val="24"/>
        </w:rPr>
      </w:pPr>
      <w:r w:rsidRPr="00391C26">
        <w:rPr>
          <w:b/>
          <w:szCs w:val="24"/>
        </w:rPr>
        <w:t>Надзор за организацией санитарно-защитных зон.</w:t>
      </w:r>
    </w:p>
    <w:p w:rsidR="005D2F29" w:rsidRPr="007C07BB" w:rsidRDefault="005D2F29" w:rsidP="005D2F29">
      <w:pPr>
        <w:pStyle w:val="063061"/>
        <w:jc w:val="center"/>
        <w:rPr>
          <w:b/>
          <w:sz w:val="16"/>
          <w:szCs w:val="16"/>
        </w:rPr>
      </w:pPr>
    </w:p>
    <w:p w:rsidR="005D2F29" w:rsidRPr="00391C26" w:rsidRDefault="005D2F29" w:rsidP="007C07BB">
      <w:pPr>
        <w:pStyle w:val="063061"/>
        <w:rPr>
          <w:szCs w:val="24"/>
        </w:rPr>
      </w:pPr>
      <w:r w:rsidRPr="00391C26">
        <w:rPr>
          <w:szCs w:val="24"/>
        </w:rPr>
        <w:t>Одним из условий сохранения благоприятной окружающей среды является реализация комплексной программы создания и благоустройства территории санитарно-защитных зон предприятий.</w:t>
      </w:r>
    </w:p>
    <w:p w:rsidR="005D2F29" w:rsidRPr="00391C26" w:rsidRDefault="005D2F29" w:rsidP="007C07BB">
      <w:pPr>
        <w:pStyle w:val="063061"/>
        <w:rPr>
          <w:szCs w:val="24"/>
        </w:rPr>
      </w:pPr>
      <w:r w:rsidRPr="00391C26">
        <w:rPr>
          <w:szCs w:val="24"/>
        </w:rPr>
        <w:t xml:space="preserve">В городах области имеется 1231 предприятий, для которых требуется создание СЗЗ, на 807 из них разработаны и реализуются проекты организации санитарно-защитных зон, что составляет 65,5%. </w:t>
      </w:r>
    </w:p>
    <w:p w:rsidR="005D2F29" w:rsidRPr="00391C26" w:rsidRDefault="005D2F29" w:rsidP="007C07BB">
      <w:pPr>
        <w:ind w:firstLine="708"/>
        <w:jc w:val="both"/>
      </w:pPr>
      <w:r w:rsidRPr="00391C26">
        <w:t xml:space="preserve">В санитарно-защитных зонах на территории Нижегородской области проживает 18047 человека, что составляет около 0,6% от общей численности населения Нижегородской области. </w:t>
      </w:r>
    </w:p>
    <w:p w:rsidR="005D2F29" w:rsidRPr="00391C26" w:rsidRDefault="005D2F29" w:rsidP="007C07BB">
      <w:pPr>
        <w:ind w:firstLine="708"/>
        <w:jc w:val="both"/>
      </w:pPr>
      <w:r w:rsidRPr="00391C26">
        <w:t xml:space="preserve">В 2019 году из  СЗЗ  выведено 1211 человек за счёт  обоснованного сокращения размеров СЗЗ по решению главного государственного санитарного врача Нижегородской области при разработке проектов СЗЗ предприятий, а также при закрытии, перепрофилировании предприятий, промплощадки которых размещены вблизи  территории жилой застройки. </w:t>
      </w:r>
    </w:p>
    <w:p w:rsidR="005D2F29" w:rsidRPr="00391C26" w:rsidRDefault="005D2F29" w:rsidP="007C07BB">
      <w:pPr>
        <w:ind w:firstLine="708"/>
        <w:jc w:val="both"/>
      </w:pPr>
      <w:r w:rsidRPr="00391C26">
        <w:t>В таблице № 15 представлены районы Нижегородской области, на территории которых имеется жилая застройка, расположенная в границах в СЗЗ промышленных предприятий.</w:t>
      </w:r>
    </w:p>
    <w:p w:rsidR="005D2F29" w:rsidRPr="00391C26" w:rsidRDefault="005D2F29" w:rsidP="007C07BB">
      <w:pPr>
        <w:ind w:firstLine="708"/>
        <w:jc w:val="both"/>
      </w:pPr>
      <w:r w:rsidRPr="00391C26">
        <w:t xml:space="preserve">В 2019 году было рассмотрено 146  проектов СЗЗ, среди которых проекты  для таких крупных предприятий Нижегородской области, как, ПАО «ГЗАС им. Попова», АО «НМЗ» и «70 лет Победы», АО «НМЖК» (г. Н. Новгород), АО ДПО «Пластик»» (г. Дзержинск),  АО «ВМЗ» (основная промплощадка) (г. Выкса), АО «Волга (г. Балахна)  и другие. </w:t>
      </w:r>
    </w:p>
    <w:p w:rsidR="005D2F29" w:rsidRPr="00391C26" w:rsidRDefault="005D2F29" w:rsidP="007C07BB">
      <w:pPr>
        <w:pStyle w:val="a6"/>
        <w:ind w:firstLine="708"/>
      </w:pPr>
      <w:r w:rsidRPr="00391C26">
        <w:t>В соответствии с требованиями санитарных норм и правил предприятиями  I - II классов опасности, являющимися основными загрязнителями атмосферного воздуха, при разработке проектов санитарно-защитных зон производится расчёт рисков заболеваемости населения, который позволяет дать  оценку канцерогенного и неканцерогенного риска для здоровья населения, проживающего в условиях возможного негативного влияния выбросов этих промпредприятий.</w:t>
      </w:r>
    </w:p>
    <w:p w:rsidR="005D2F29" w:rsidRPr="00391C26" w:rsidRDefault="005D2F29" w:rsidP="007C07BB">
      <w:pPr>
        <w:pStyle w:val="a6"/>
        <w:ind w:firstLine="708"/>
      </w:pPr>
      <w:r w:rsidRPr="00391C26">
        <w:t>В 2019 году в Нижегородской области продолжилась работа по реализации «Правил установления санитарно-защитных зон и использования земельных участков, расположенных в границах санитарно-защитных зон», утверждённых постановлением Правительства РФ от 03.03.2018г.</w:t>
      </w:r>
      <w:r w:rsidR="007C07BB">
        <w:t xml:space="preserve"> № 222 (далее – Постановление).</w:t>
      </w:r>
    </w:p>
    <w:p w:rsidR="005D2F29" w:rsidRPr="00391C26" w:rsidRDefault="005D2F29" w:rsidP="007C07BB">
      <w:pPr>
        <w:pStyle w:val="a6"/>
        <w:ind w:firstLine="708"/>
      </w:pPr>
      <w:r w:rsidRPr="00391C26">
        <w:t>За период реализации Постановления подготовлено 213 Решений Главного государственного санитарного врача по Нижегородской области об установлении санитарно-защитных зон промышленных и иных объектов.</w:t>
      </w:r>
    </w:p>
    <w:p w:rsidR="005D2F29" w:rsidRPr="00391C26" w:rsidRDefault="005D2F29" w:rsidP="007C07BB">
      <w:pPr>
        <w:ind w:firstLine="708"/>
        <w:jc w:val="both"/>
        <w:rPr>
          <w:lang w:eastAsia="en-US"/>
        </w:rPr>
      </w:pPr>
      <w:r w:rsidRPr="00391C26">
        <w:t xml:space="preserve">По информации </w:t>
      </w:r>
      <w:r w:rsidRPr="00391C26">
        <w:rPr>
          <w:lang w:eastAsia="en-US"/>
        </w:rPr>
        <w:t>филиала ФГБУ «ФКП Росреестра по Нижегородской области» в Единый государственный реестр недвижимости в 2019 году внесены сведения о 112 санитарно-защитных зонах предприятий, сооружений и иных объектов.</w:t>
      </w:r>
    </w:p>
    <w:p w:rsidR="005D2F29" w:rsidRPr="00391C26" w:rsidRDefault="005D2F29" w:rsidP="007C07BB">
      <w:pPr>
        <w:ind w:firstLine="709"/>
        <w:jc w:val="both"/>
        <w:textAlignment w:val="top"/>
        <w:rPr>
          <w:spacing w:val="2"/>
        </w:rPr>
      </w:pPr>
      <w:r w:rsidRPr="00391C26">
        <w:lastRenderedPageBreak/>
        <w:t>Особое место в части установления санитарно-защитных зон, как зон ограничения использования земель занимают сибиреязвенные захоронения.</w:t>
      </w:r>
      <w:r w:rsidRPr="00391C26">
        <w:rPr>
          <w:spacing w:val="2"/>
        </w:rPr>
        <w:t xml:space="preserve"> </w:t>
      </w:r>
    </w:p>
    <w:p w:rsidR="005D2F29" w:rsidRPr="00391C26" w:rsidRDefault="005D2F29" w:rsidP="007C07BB">
      <w:pPr>
        <w:ind w:firstLine="709"/>
        <w:jc w:val="both"/>
        <w:textAlignment w:val="top"/>
        <w:rPr>
          <w:spacing w:val="-5"/>
        </w:rPr>
      </w:pPr>
      <w:r w:rsidRPr="00391C26">
        <w:t>На</w:t>
      </w:r>
      <w:r w:rsidRPr="00391C26">
        <w:rPr>
          <w:spacing w:val="-5"/>
        </w:rPr>
        <w:t xml:space="preserve"> территории Нижегородской области имеется 231  официально зарегистрированное сибиреязвенное захоронение (СЯЗ).</w:t>
      </w:r>
    </w:p>
    <w:p w:rsidR="005D2F29" w:rsidRPr="00391C26" w:rsidRDefault="005D2F29" w:rsidP="007C07BB">
      <w:pPr>
        <w:ind w:firstLine="720"/>
        <w:jc w:val="both"/>
      </w:pPr>
      <w:r w:rsidRPr="00391C26">
        <w:t xml:space="preserve">Всего в период с 2012 по 2019 год Управлением Роспотребнадзора по Нижегородской области было подготовлено 8 предварительных заключений о возможности установления СЗЗ  сибиреязвенных захоронений (СЯЗ): </w:t>
      </w:r>
    </w:p>
    <w:p w:rsidR="005D2F29" w:rsidRPr="00391C26" w:rsidRDefault="005D2F29" w:rsidP="007C07BB">
      <w:pPr>
        <w:jc w:val="both"/>
      </w:pPr>
      <w:r w:rsidRPr="00391C26">
        <w:t>2012-2014гг.</w:t>
      </w:r>
    </w:p>
    <w:p w:rsidR="005D2F29" w:rsidRPr="00391C26" w:rsidRDefault="001E15F8" w:rsidP="007C07BB">
      <w:pPr>
        <w:jc w:val="both"/>
      </w:pPr>
      <w:r>
        <w:t xml:space="preserve">   - по СЯЗ  С-01-27/53 </w:t>
      </w:r>
      <w:r w:rsidR="005D2F29" w:rsidRPr="00391C26">
        <w:t xml:space="preserve"> у села Шилокша Кулебакского района;</w:t>
      </w:r>
    </w:p>
    <w:p w:rsidR="005D2F29" w:rsidRPr="00391C26" w:rsidRDefault="005D2F29" w:rsidP="007C07BB">
      <w:pPr>
        <w:jc w:val="both"/>
      </w:pPr>
      <w:r w:rsidRPr="00391C26">
        <w:t xml:space="preserve">   - по СЯЗ  С-20-04/038 у села Каменки Богородского района;</w:t>
      </w:r>
    </w:p>
    <w:p w:rsidR="005D2F29" w:rsidRPr="00391C26" w:rsidRDefault="005D2F29" w:rsidP="007C07BB">
      <w:pPr>
        <w:jc w:val="both"/>
      </w:pPr>
      <w:r w:rsidRPr="00391C26">
        <w:t>2015г.</w:t>
      </w:r>
    </w:p>
    <w:p w:rsidR="005D2F29" w:rsidRPr="00391C26" w:rsidRDefault="005D2F29" w:rsidP="007C07BB">
      <w:pPr>
        <w:jc w:val="both"/>
      </w:pPr>
      <w:r w:rsidRPr="00391C26">
        <w:t xml:space="preserve">   - по СЯЗ С-19-04/039  в г. Богородске Нижегородской области;</w:t>
      </w:r>
    </w:p>
    <w:p w:rsidR="005D2F29" w:rsidRPr="00391C26" w:rsidRDefault="005D2F29" w:rsidP="007C07BB">
      <w:pPr>
        <w:jc w:val="both"/>
      </w:pPr>
      <w:r w:rsidRPr="00391C26">
        <w:t xml:space="preserve">   - по СЯЗ С-06-04/026 у деревни Крашово Богородского района; </w:t>
      </w:r>
    </w:p>
    <w:p w:rsidR="005D2F29" w:rsidRPr="00391C26" w:rsidRDefault="005D2F29" w:rsidP="007C07BB">
      <w:pPr>
        <w:jc w:val="both"/>
      </w:pPr>
      <w:r w:rsidRPr="00391C26">
        <w:t xml:space="preserve">   - по СЯЗ С-11-04/031 у с. Великосельево Богородского района;</w:t>
      </w:r>
    </w:p>
    <w:p w:rsidR="005D2F29" w:rsidRPr="00391C26" w:rsidRDefault="005D2F29" w:rsidP="007C07BB">
      <w:pPr>
        <w:jc w:val="both"/>
      </w:pPr>
      <w:r w:rsidRPr="00391C26">
        <w:t xml:space="preserve">   - по СЯЗ С-01-48/159 в Канавинском районе города Нижнего Новгорода;</w:t>
      </w:r>
    </w:p>
    <w:p w:rsidR="005D2F29" w:rsidRPr="00391C26" w:rsidRDefault="005D2F29" w:rsidP="007C07BB">
      <w:pPr>
        <w:jc w:val="both"/>
      </w:pPr>
      <w:r w:rsidRPr="00391C26">
        <w:t>2016г.</w:t>
      </w:r>
    </w:p>
    <w:p w:rsidR="005D2F29" w:rsidRPr="00391C26" w:rsidRDefault="005D2F29" w:rsidP="007C07BB">
      <w:pPr>
        <w:jc w:val="both"/>
      </w:pPr>
      <w:r w:rsidRPr="00391C26">
        <w:t xml:space="preserve">   - по СЯЗ С-09-04/029</w:t>
      </w:r>
      <w:r w:rsidRPr="00391C26">
        <w:rPr>
          <w:b/>
        </w:rPr>
        <w:t>,</w:t>
      </w:r>
      <w:r w:rsidRPr="00391C26">
        <w:t>в поселке Буревестник Богородского района;</w:t>
      </w:r>
    </w:p>
    <w:p w:rsidR="005D2F29" w:rsidRPr="00391C26" w:rsidRDefault="005D2F29" w:rsidP="007C07BB">
      <w:pPr>
        <w:jc w:val="both"/>
      </w:pPr>
      <w:r w:rsidRPr="00391C26">
        <w:t>2017г.</w:t>
      </w:r>
    </w:p>
    <w:p w:rsidR="005D2F29" w:rsidRPr="00391C26" w:rsidRDefault="005D2F29" w:rsidP="007C07BB">
      <w:pPr>
        <w:jc w:val="both"/>
      </w:pPr>
      <w:r w:rsidRPr="00391C26">
        <w:t xml:space="preserve">   - по СЯЗ С-01-49/001</w:t>
      </w:r>
      <w:r w:rsidRPr="00391C26">
        <w:rPr>
          <w:b/>
        </w:rPr>
        <w:t xml:space="preserve"> </w:t>
      </w:r>
      <w:r w:rsidRPr="00391C26">
        <w:t>в городе Дзержинск Нижегородской области.</w:t>
      </w:r>
    </w:p>
    <w:p w:rsidR="005D2F29" w:rsidRPr="00391C26" w:rsidRDefault="005D2F29" w:rsidP="007C07BB">
      <w:pPr>
        <w:ind w:firstLine="720"/>
        <w:jc w:val="both"/>
      </w:pPr>
      <w:r w:rsidRPr="00391C26">
        <w:t>В настоящее время в соответствии с Постановлением Главного государственного санитарного врача РФ установлены санитарно-защитные зоны 7</w:t>
      </w:r>
      <w:r>
        <w:t> </w:t>
      </w:r>
      <w:r w:rsidRPr="00391C26">
        <w:t>скотомогильников:</w:t>
      </w:r>
    </w:p>
    <w:p w:rsidR="005D2F29" w:rsidRPr="00391C26" w:rsidRDefault="005D2F29" w:rsidP="007C07BB">
      <w:pPr>
        <w:jc w:val="both"/>
      </w:pPr>
      <w:r w:rsidRPr="00391C26">
        <w:t xml:space="preserve">     -  у с.Бурцево Богородского района;</w:t>
      </w:r>
    </w:p>
    <w:p w:rsidR="005D2F29" w:rsidRPr="00391C26" w:rsidRDefault="005D2F29" w:rsidP="007C07BB">
      <w:pPr>
        <w:jc w:val="both"/>
      </w:pPr>
      <w:r w:rsidRPr="00391C26">
        <w:t xml:space="preserve">     -  у с.Каменки Богородского района;</w:t>
      </w:r>
    </w:p>
    <w:p w:rsidR="005D2F29" w:rsidRPr="00391C26" w:rsidRDefault="005D2F29" w:rsidP="007C07BB">
      <w:pPr>
        <w:jc w:val="both"/>
      </w:pPr>
      <w:r w:rsidRPr="00391C26">
        <w:t xml:space="preserve">     -  у с.Большое Мокрое Кстовского района;</w:t>
      </w:r>
    </w:p>
    <w:p w:rsidR="005D2F29" w:rsidRPr="00391C26" w:rsidRDefault="005D2F29" w:rsidP="007C07BB">
      <w:pPr>
        <w:jc w:val="both"/>
      </w:pPr>
      <w:r w:rsidRPr="00391C26">
        <w:t xml:space="preserve">     -  у с.Шилокша Кулебакского района;</w:t>
      </w:r>
    </w:p>
    <w:p w:rsidR="005D2F29" w:rsidRPr="00391C26" w:rsidRDefault="005D2F29" w:rsidP="007C07BB">
      <w:pPr>
        <w:jc w:val="both"/>
      </w:pPr>
      <w:r w:rsidRPr="00391C26">
        <w:t xml:space="preserve">      -  в  г.Богородск;</w:t>
      </w:r>
    </w:p>
    <w:p w:rsidR="005D2F29" w:rsidRPr="00391C26" w:rsidRDefault="005D2F29" w:rsidP="007C07BB">
      <w:pPr>
        <w:jc w:val="both"/>
      </w:pPr>
      <w:r w:rsidRPr="00391C26">
        <w:t xml:space="preserve">      -  в г.Дзержинск </w:t>
      </w:r>
    </w:p>
    <w:p w:rsidR="005D2F29" w:rsidRPr="00391C26" w:rsidRDefault="005D2F29" w:rsidP="007C07BB">
      <w:pPr>
        <w:jc w:val="both"/>
      </w:pPr>
      <w:r w:rsidRPr="00391C26">
        <w:t xml:space="preserve">      - г.Лысково, район Засолки.</w:t>
      </w:r>
    </w:p>
    <w:p w:rsidR="005D2F29" w:rsidRPr="00391C26" w:rsidRDefault="005D2F29" w:rsidP="007C07BB">
      <w:pPr>
        <w:ind w:firstLine="708"/>
        <w:jc w:val="both"/>
      </w:pPr>
      <w:r w:rsidRPr="00391C26">
        <w:t>За пределы СЗЗ скотомогильников выведены территории, предназначенные для жилищного строительства, школ, детских дошкольных учреждений, а также территории, на которых предусмотрены земляные работы для прокладки коммуникаций.</w:t>
      </w:r>
    </w:p>
    <w:p w:rsidR="005D2F29" w:rsidRPr="00391C26" w:rsidRDefault="005D2F29" w:rsidP="007C07BB">
      <w:pPr>
        <w:ind w:firstLine="708"/>
        <w:jc w:val="both"/>
      </w:pPr>
      <w:r w:rsidRPr="00391C26">
        <w:t>За нарушения санитарного законодательства в области охраны атмосферного воздуха и создания санитарно-защитных зон в  2019 году было наложено 24  штрафа на общую сумму 122  тыс.  рублей.</w:t>
      </w:r>
    </w:p>
    <w:p w:rsidR="005D2F29" w:rsidRPr="007C07BB" w:rsidRDefault="005D2F29" w:rsidP="005D2F29">
      <w:pPr>
        <w:rPr>
          <w:sz w:val="16"/>
          <w:szCs w:val="16"/>
        </w:rPr>
      </w:pPr>
    </w:p>
    <w:p w:rsidR="005D2F29" w:rsidRPr="00391C26" w:rsidRDefault="005D2F29" w:rsidP="005D2F29">
      <w:pPr>
        <w:autoSpaceDE w:val="0"/>
        <w:autoSpaceDN w:val="0"/>
        <w:adjustRightInd w:val="0"/>
        <w:spacing w:line="276" w:lineRule="auto"/>
        <w:jc w:val="center"/>
        <w:rPr>
          <w:b/>
          <w:bCs/>
        </w:rPr>
      </w:pPr>
      <w:r w:rsidRPr="00391C26">
        <w:rPr>
          <w:b/>
          <w:bCs/>
        </w:rPr>
        <w:t xml:space="preserve">Санитарно-эпидемиологическая безопасность почвы населенных мест </w:t>
      </w:r>
    </w:p>
    <w:p w:rsidR="005D2F29" w:rsidRPr="007C07BB" w:rsidRDefault="005D2F29" w:rsidP="005D2F29">
      <w:pPr>
        <w:rPr>
          <w:sz w:val="16"/>
          <w:szCs w:val="16"/>
        </w:rPr>
      </w:pPr>
    </w:p>
    <w:p w:rsidR="005D2F29" w:rsidRPr="00391C26" w:rsidRDefault="005D2F29" w:rsidP="007C07BB">
      <w:pPr>
        <w:ind w:firstLine="708"/>
        <w:jc w:val="both"/>
      </w:pPr>
      <w:r w:rsidRPr="00391C26">
        <w:t>В 2019 году было исследовано 673 пробы почвы на санитарно-химические показатели (2018 г. – 717 проб, 2017 г. – 682 пробы), 973 проб почвы на микробиологические показатели и 1306 проб почвы на паразитологические показате</w:t>
      </w:r>
      <w:r w:rsidR="00845224">
        <w:t xml:space="preserve">ли (2018 г. – 907 и 1510 проб, </w:t>
      </w:r>
      <w:r w:rsidRPr="00391C26">
        <w:t>2017 г. – 997 и 1697 проб соответственно).</w:t>
      </w:r>
    </w:p>
    <w:p w:rsidR="005D2F29" w:rsidRPr="00391C26" w:rsidRDefault="005D2F29" w:rsidP="007C07BB">
      <w:pPr>
        <w:ind w:firstLine="708"/>
        <w:jc w:val="both"/>
      </w:pPr>
      <w:r w:rsidRPr="00391C26">
        <w:t>Обследование почвы проводилось в зоне влияния промпредприятий, автомагистралей, селитебной зоне, ЗСО источников водоснабжения на</w:t>
      </w:r>
      <w:r w:rsidR="007C07BB">
        <w:t xml:space="preserve"> территории детских учреждений.</w:t>
      </w:r>
    </w:p>
    <w:p w:rsidR="005D2F29" w:rsidRPr="007C07BB" w:rsidRDefault="005D2F29" w:rsidP="005D2F29">
      <w:pPr>
        <w:pStyle w:val="240"/>
        <w:jc w:val="right"/>
        <w:rPr>
          <w:sz w:val="16"/>
          <w:szCs w:val="16"/>
        </w:rPr>
      </w:pPr>
    </w:p>
    <w:p w:rsidR="005D2F29" w:rsidRDefault="005D2F29" w:rsidP="005D2F29">
      <w:pPr>
        <w:pStyle w:val="240"/>
        <w:jc w:val="right"/>
        <w:rPr>
          <w:sz w:val="22"/>
          <w:szCs w:val="22"/>
        </w:rPr>
      </w:pPr>
      <w:r w:rsidRPr="00391C26">
        <w:rPr>
          <w:sz w:val="22"/>
          <w:szCs w:val="22"/>
        </w:rPr>
        <w:t>Таблица №16</w:t>
      </w:r>
    </w:p>
    <w:p w:rsidR="005D2F29" w:rsidRPr="007C07BB" w:rsidRDefault="005D2F29" w:rsidP="005D2F29">
      <w:pPr>
        <w:pStyle w:val="240"/>
        <w:jc w:val="right"/>
        <w:rPr>
          <w:sz w:val="16"/>
          <w:szCs w:val="16"/>
        </w:rPr>
      </w:pPr>
    </w:p>
    <w:p w:rsidR="005D2F29" w:rsidRPr="001853B2" w:rsidRDefault="005D2F29" w:rsidP="005D2F29">
      <w:pPr>
        <w:ind w:firstLine="708"/>
        <w:jc w:val="center"/>
        <w:rPr>
          <w:b/>
          <w:bCs/>
          <w:sz w:val="22"/>
          <w:szCs w:val="22"/>
        </w:rPr>
      </w:pPr>
      <w:r w:rsidRPr="001853B2">
        <w:rPr>
          <w:b/>
          <w:bCs/>
          <w:sz w:val="22"/>
          <w:szCs w:val="22"/>
        </w:rPr>
        <w:t xml:space="preserve">Количество и удельный вес проб почвы Нижегородской области </w:t>
      </w:r>
    </w:p>
    <w:p w:rsidR="005D2F29" w:rsidRPr="001853B2" w:rsidRDefault="005D2F29" w:rsidP="005D2F29">
      <w:pPr>
        <w:ind w:firstLine="708"/>
        <w:jc w:val="center"/>
        <w:rPr>
          <w:b/>
          <w:bCs/>
          <w:sz w:val="22"/>
          <w:szCs w:val="22"/>
        </w:rPr>
      </w:pPr>
      <w:r w:rsidRPr="001853B2">
        <w:rPr>
          <w:b/>
          <w:bCs/>
          <w:sz w:val="22"/>
          <w:szCs w:val="22"/>
        </w:rPr>
        <w:t>за 2015-2019 гг., несоответствующих гигиеническим нормативам (%)</w:t>
      </w:r>
    </w:p>
    <w:p w:rsidR="005D2F29" w:rsidRPr="001853B2" w:rsidRDefault="005D2F29" w:rsidP="005D2F29">
      <w:pPr>
        <w:ind w:firstLine="708"/>
        <w:jc w:val="center"/>
        <w:rPr>
          <w:b/>
          <w:bCs/>
          <w:sz w:val="22"/>
          <w:szCs w:val="22"/>
        </w:rPr>
      </w:pPr>
    </w:p>
    <w:tbl>
      <w:tblPr>
        <w:tblW w:w="9165" w:type="dxa"/>
        <w:tblInd w:w="-51" w:type="dxa"/>
        <w:tblLayout w:type="fixed"/>
        <w:tblLook w:val="00A0"/>
      </w:tblPr>
      <w:tblGrid>
        <w:gridCol w:w="1224"/>
        <w:gridCol w:w="900"/>
        <w:gridCol w:w="740"/>
        <w:gridCol w:w="900"/>
        <w:gridCol w:w="720"/>
        <w:gridCol w:w="889"/>
        <w:gridCol w:w="720"/>
        <w:gridCol w:w="801"/>
        <w:gridCol w:w="830"/>
        <w:gridCol w:w="708"/>
        <w:gridCol w:w="733"/>
      </w:tblGrid>
      <w:tr w:rsidR="005D2F29" w:rsidRPr="00391C26" w:rsidTr="005D2F29">
        <w:trPr>
          <w:trHeight w:val="1155"/>
          <w:tblHeader/>
        </w:trPr>
        <w:tc>
          <w:tcPr>
            <w:tcW w:w="1225" w:type="dxa"/>
            <w:vMerge w:val="restar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lastRenderedPageBreak/>
              <w:t>почва территорий</w:t>
            </w: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года</w:t>
            </w:r>
          </w:p>
        </w:tc>
        <w:tc>
          <w:tcPr>
            <w:tcW w:w="2361" w:type="dxa"/>
            <w:gridSpan w:val="3"/>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Число исследованных проб по санитарно-химическим показателям</w:t>
            </w:r>
          </w:p>
        </w:tc>
        <w:tc>
          <w:tcPr>
            <w:tcW w:w="2410" w:type="dxa"/>
            <w:gridSpan w:val="3"/>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Число исследованных проб по микробиологическим показателям</w:t>
            </w:r>
          </w:p>
        </w:tc>
        <w:tc>
          <w:tcPr>
            <w:tcW w:w="2271" w:type="dxa"/>
            <w:gridSpan w:val="3"/>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Число исследованных проб по паразитологическим показателям</w:t>
            </w:r>
          </w:p>
        </w:tc>
      </w:tr>
      <w:tr w:rsidR="005D2F29" w:rsidRPr="00391C26" w:rsidTr="005D2F29">
        <w:trPr>
          <w:trHeight w:val="1215"/>
          <w:tblHeader/>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p>
        </w:tc>
        <w:tc>
          <w:tcPr>
            <w:tcW w:w="741" w:type="dxa"/>
            <w:tcBorders>
              <w:top w:val="nil"/>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всего</w:t>
            </w:r>
          </w:p>
        </w:tc>
        <w:tc>
          <w:tcPr>
            <w:tcW w:w="900" w:type="dxa"/>
            <w:tcBorders>
              <w:top w:val="nil"/>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из них не соот.</w:t>
            </w:r>
          </w:p>
          <w:p w:rsidR="005D2F29" w:rsidRPr="00391C26" w:rsidRDefault="005D2F29" w:rsidP="005D2F29">
            <w:pPr>
              <w:jc w:val="center"/>
              <w:rPr>
                <w:lang w:eastAsia="en-US"/>
              </w:rPr>
            </w:pPr>
            <w:r w:rsidRPr="00391C26">
              <w:rPr>
                <w:sz w:val="22"/>
                <w:szCs w:val="22"/>
                <w:lang w:eastAsia="en-US"/>
              </w:rPr>
              <w:t>гиг-м</w:t>
            </w:r>
          </w:p>
          <w:p w:rsidR="005D2F29" w:rsidRPr="00391C26" w:rsidRDefault="005D2F29" w:rsidP="005D2F29">
            <w:pPr>
              <w:jc w:val="center"/>
              <w:rPr>
                <w:lang w:eastAsia="en-US"/>
              </w:rPr>
            </w:pPr>
            <w:r w:rsidRPr="00391C26">
              <w:rPr>
                <w:sz w:val="22"/>
                <w:szCs w:val="22"/>
                <w:lang w:eastAsia="en-US"/>
              </w:rPr>
              <w:t>нормативам</w:t>
            </w:r>
          </w:p>
        </w:tc>
        <w:tc>
          <w:tcPr>
            <w:tcW w:w="720" w:type="dxa"/>
            <w:tcBorders>
              <w:top w:val="nil"/>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Удельный вес (%)</w:t>
            </w:r>
          </w:p>
        </w:tc>
        <w:tc>
          <w:tcPr>
            <w:tcW w:w="889" w:type="dxa"/>
            <w:tcBorders>
              <w:top w:val="nil"/>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всего</w:t>
            </w:r>
          </w:p>
        </w:tc>
        <w:tc>
          <w:tcPr>
            <w:tcW w:w="720" w:type="dxa"/>
            <w:tcBorders>
              <w:top w:val="nil"/>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из них не соот.</w:t>
            </w:r>
          </w:p>
          <w:p w:rsidR="005D2F29" w:rsidRPr="00391C26" w:rsidRDefault="005D2F29" w:rsidP="005D2F29">
            <w:pPr>
              <w:jc w:val="center"/>
              <w:rPr>
                <w:lang w:eastAsia="en-US"/>
              </w:rPr>
            </w:pPr>
            <w:r w:rsidRPr="00391C26">
              <w:rPr>
                <w:sz w:val="22"/>
                <w:szCs w:val="22"/>
                <w:lang w:eastAsia="en-US"/>
              </w:rPr>
              <w:t>гиг-м</w:t>
            </w:r>
          </w:p>
          <w:p w:rsidR="005D2F29" w:rsidRPr="00391C26" w:rsidRDefault="005D2F29" w:rsidP="005D2F29">
            <w:pPr>
              <w:jc w:val="center"/>
              <w:rPr>
                <w:lang w:eastAsia="en-US"/>
              </w:rPr>
            </w:pPr>
            <w:r w:rsidRPr="00391C26">
              <w:rPr>
                <w:sz w:val="22"/>
                <w:szCs w:val="22"/>
                <w:lang w:eastAsia="en-US"/>
              </w:rPr>
              <w:t>нормативам</w:t>
            </w:r>
          </w:p>
        </w:tc>
        <w:tc>
          <w:tcPr>
            <w:tcW w:w="801" w:type="dxa"/>
            <w:tcBorders>
              <w:top w:val="nil"/>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Удельный вес (%)</w:t>
            </w:r>
          </w:p>
        </w:tc>
        <w:tc>
          <w:tcPr>
            <w:tcW w:w="830" w:type="dxa"/>
            <w:tcBorders>
              <w:top w:val="nil"/>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всего</w:t>
            </w:r>
          </w:p>
        </w:tc>
        <w:tc>
          <w:tcPr>
            <w:tcW w:w="708" w:type="dxa"/>
            <w:tcBorders>
              <w:top w:val="nil"/>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из них не соот.</w:t>
            </w:r>
          </w:p>
          <w:p w:rsidR="005D2F29" w:rsidRPr="00391C26" w:rsidRDefault="005D2F29" w:rsidP="005D2F29">
            <w:pPr>
              <w:jc w:val="center"/>
              <w:rPr>
                <w:lang w:eastAsia="en-US"/>
              </w:rPr>
            </w:pPr>
            <w:r w:rsidRPr="00391C26">
              <w:rPr>
                <w:sz w:val="22"/>
                <w:szCs w:val="22"/>
                <w:lang w:eastAsia="en-US"/>
              </w:rPr>
              <w:t>гиг-м</w:t>
            </w:r>
          </w:p>
          <w:p w:rsidR="005D2F29" w:rsidRPr="00391C26" w:rsidRDefault="005D2F29" w:rsidP="005D2F29">
            <w:pPr>
              <w:jc w:val="center"/>
              <w:rPr>
                <w:lang w:eastAsia="en-US"/>
              </w:rPr>
            </w:pPr>
            <w:r w:rsidRPr="00391C26">
              <w:rPr>
                <w:sz w:val="22"/>
                <w:szCs w:val="22"/>
                <w:lang w:eastAsia="en-US"/>
              </w:rPr>
              <w:t>нормативам</w:t>
            </w:r>
          </w:p>
        </w:tc>
        <w:tc>
          <w:tcPr>
            <w:tcW w:w="733" w:type="dxa"/>
            <w:tcBorders>
              <w:top w:val="nil"/>
              <w:left w:val="nil"/>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Удельный вес (%)</w:t>
            </w:r>
          </w:p>
        </w:tc>
      </w:tr>
      <w:tr w:rsidR="005D2F29" w:rsidRPr="00391C26" w:rsidTr="005D2F29">
        <w:trPr>
          <w:trHeight w:val="240"/>
        </w:trPr>
        <w:tc>
          <w:tcPr>
            <w:tcW w:w="1225" w:type="dxa"/>
            <w:vMerge w:val="restar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Всего</w:t>
            </w: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2019г.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673</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39</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5,79</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973</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75</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7,71</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1306</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16</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1,23</w:t>
            </w:r>
          </w:p>
        </w:tc>
      </w:tr>
      <w:tr w:rsidR="005D2F29" w:rsidRPr="00391C26" w:rsidTr="005D2F29">
        <w:trPr>
          <w:trHeight w:val="240"/>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2018г.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717</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71</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9,90</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907</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113</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12,46</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1510</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3</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0,20</w:t>
            </w:r>
          </w:p>
        </w:tc>
      </w:tr>
      <w:tr w:rsidR="005D2F29" w:rsidRPr="00391C26" w:rsidTr="005D2F29">
        <w:trPr>
          <w:trHeight w:val="240"/>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2017г.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682</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24</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3,52</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997</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107</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10,73</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1697</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8</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0,47</w:t>
            </w:r>
          </w:p>
        </w:tc>
      </w:tr>
      <w:tr w:rsidR="005D2F29" w:rsidRPr="00391C26" w:rsidTr="005D2F29">
        <w:trPr>
          <w:trHeight w:val="240"/>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2016г.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692</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51</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7,37</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1087</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104</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9,57</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1930</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10</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0,52</w:t>
            </w:r>
          </w:p>
        </w:tc>
      </w:tr>
      <w:tr w:rsidR="005D2F29" w:rsidRPr="00391C26" w:rsidTr="005D2F29">
        <w:trPr>
          <w:trHeight w:val="330"/>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2015г.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1053</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122</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11,59</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1057</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124</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11,73</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1749</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22</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1,26</w:t>
            </w:r>
          </w:p>
        </w:tc>
      </w:tr>
      <w:tr w:rsidR="005D2F29" w:rsidRPr="00391C26" w:rsidTr="005D2F29">
        <w:trPr>
          <w:trHeight w:val="240"/>
        </w:trPr>
        <w:tc>
          <w:tcPr>
            <w:tcW w:w="1225"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почва в селитебной зоне - всего</w:t>
            </w: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2019г.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448</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19</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4,2</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766</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50</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1,3</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1111</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12</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1,08</w:t>
            </w:r>
          </w:p>
        </w:tc>
      </w:tr>
      <w:tr w:rsidR="005D2F29" w:rsidRPr="00391C26" w:rsidTr="005D2F29">
        <w:trPr>
          <w:trHeight w:val="240"/>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2018г.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468</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29</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6,20</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676</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68</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10,06</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1249</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3</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0,24</w:t>
            </w:r>
          </w:p>
        </w:tc>
      </w:tr>
      <w:tr w:rsidR="005D2F29" w:rsidRPr="00391C26" w:rsidTr="005D2F29">
        <w:trPr>
          <w:trHeight w:val="240"/>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2017г.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435</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7</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1,61</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767</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59</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7,69</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1418</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6</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0,42</w:t>
            </w:r>
          </w:p>
        </w:tc>
      </w:tr>
      <w:tr w:rsidR="005D2F29" w:rsidRPr="00391C26" w:rsidTr="005D2F29">
        <w:trPr>
          <w:trHeight w:val="240"/>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2016г.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461</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29</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6,29</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846</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77</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9,10</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1611</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6</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0,37</w:t>
            </w:r>
          </w:p>
        </w:tc>
      </w:tr>
      <w:tr w:rsidR="005D2F29" w:rsidRPr="00391C26" w:rsidTr="005D2F29">
        <w:trPr>
          <w:trHeight w:val="576"/>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2015г.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696</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82</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11,78</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821</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86</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10,48</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1453</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18</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1,24</w:t>
            </w:r>
          </w:p>
        </w:tc>
      </w:tr>
      <w:tr w:rsidR="005D2F29" w:rsidRPr="00391C26" w:rsidTr="005D2F29">
        <w:trPr>
          <w:trHeight w:val="228"/>
        </w:trPr>
        <w:tc>
          <w:tcPr>
            <w:tcW w:w="1225"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в том числе на территории</w:t>
            </w:r>
            <w:r w:rsidRPr="00391C26">
              <w:rPr>
                <w:sz w:val="22"/>
                <w:szCs w:val="22"/>
                <w:lang w:eastAsia="en-US"/>
              </w:rPr>
              <w:br/>
              <w:t xml:space="preserve">  детских</w:t>
            </w:r>
          </w:p>
          <w:p w:rsidR="005D2F29" w:rsidRPr="00391C26" w:rsidRDefault="005D2F29" w:rsidP="005D2F29">
            <w:pPr>
              <w:jc w:val="center"/>
              <w:rPr>
                <w:lang w:eastAsia="en-US"/>
              </w:rPr>
            </w:pPr>
            <w:r w:rsidRPr="00391C26">
              <w:rPr>
                <w:sz w:val="22"/>
                <w:szCs w:val="22"/>
                <w:lang w:eastAsia="en-US"/>
              </w:rPr>
              <w:t xml:space="preserve">площадок </w:t>
            </w:r>
          </w:p>
          <w:p w:rsidR="005D2F29" w:rsidRPr="00391C26" w:rsidRDefault="005D2F29" w:rsidP="005D2F29">
            <w:pPr>
              <w:jc w:val="center"/>
              <w:rPr>
                <w:lang w:eastAsia="en-US"/>
              </w:rPr>
            </w:pPr>
            <w:r w:rsidRPr="00391C26">
              <w:rPr>
                <w:sz w:val="22"/>
                <w:szCs w:val="22"/>
                <w:lang w:eastAsia="en-US"/>
              </w:rPr>
              <w:t xml:space="preserve"> детских площадок</w:t>
            </w: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2019г.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182</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0,00</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438</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14</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804</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0,00</w:t>
            </w:r>
          </w:p>
        </w:tc>
      </w:tr>
      <w:tr w:rsidR="005D2F29" w:rsidRPr="00391C26" w:rsidTr="005D2F29">
        <w:trPr>
          <w:trHeight w:val="228"/>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2018г.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188</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0,00</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432</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9</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2,08</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927</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3</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0,32</w:t>
            </w:r>
          </w:p>
        </w:tc>
      </w:tr>
      <w:tr w:rsidR="005D2F29" w:rsidRPr="00391C26" w:rsidTr="005D2F29">
        <w:trPr>
          <w:trHeight w:val="228"/>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2017г.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265</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0,38</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587</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16</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2,73</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1094</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0,18</w:t>
            </w:r>
          </w:p>
        </w:tc>
      </w:tr>
      <w:tr w:rsidR="005D2F29" w:rsidRPr="00391C26" w:rsidTr="005D2F29">
        <w:trPr>
          <w:trHeight w:val="347"/>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2016г.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270</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0,37</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596</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21</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3,52</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1271</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0,16</w:t>
            </w:r>
          </w:p>
        </w:tc>
      </w:tr>
      <w:tr w:rsidR="005D2F29" w:rsidRPr="00391C26" w:rsidTr="005D2F29">
        <w:trPr>
          <w:trHeight w:val="1029"/>
        </w:trPr>
        <w:tc>
          <w:tcPr>
            <w:tcW w:w="1225" w:type="dxa"/>
            <w:vMerge/>
            <w:tcBorders>
              <w:top w:val="single" w:sz="4" w:space="0" w:color="auto"/>
              <w:left w:val="single" w:sz="4" w:space="0" w:color="auto"/>
              <w:bottom w:val="single" w:sz="4" w:space="0" w:color="auto"/>
              <w:right w:val="single" w:sz="4" w:space="0" w:color="auto"/>
            </w:tcBorders>
            <w:vAlign w:val="center"/>
          </w:tcPr>
          <w:p w:rsidR="005D2F29" w:rsidRPr="00391C26" w:rsidRDefault="005D2F29" w:rsidP="005D2F29">
            <w:pPr>
              <w:rPr>
                <w:lang w:eastAsia="en-US"/>
              </w:rPr>
            </w:pPr>
          </w:p>
        </w:tc>
        <w:tc>
          <w:tcPr>
            <w:tcW w:w="90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2015г.</w:t>
            </w:r>
          </w:p>
        </w:tc>
        <w:tc>
          <w:tcPr>
            <w:tcW w:w="741"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246</w:t>
            </w:r>
          </w:p>
        </w:tc>
        <w:tc>
          <w:tcPr>
            <w:tcW w:w="900"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3</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1,22</w:t>
            </w:r>
          </w:p>
        </w:tc>
        <w:tc>
          <w:tcPr>
            <w:tcW w:w="889"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470</w:t>
            </w:r>
          </w:p>
        </w:tc>
        <w:tc>
          <w:tcPr>
            <w:tcW w:w="72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25</w:t>
            </w:r>
          </w:p>
        </w:tc>
        <w:tc>
          <w:tcPr>
            <w:tcW w:w="801"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5,32</w:t>
            </w:r>
          </w:p>
        </w:tc>
        <w:tc>
          <w:tcPr>
            <w:tcW w:w="83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980</w:t>
            </w:r>
          </w:p>
        </w:tc>
        <w:tc>
          <w:tcPr>
            <w:tcW w:w="708"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4</w:t>
            </w:r>
          </w:p>
        </w:tc>
        <w:tc>
          <w:tcPr>
            <w:tcW w:w="733"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5D2F29" w:rsidRPr="00391C26" w:rsidRDefault="005D2F29" w:rsidP="005D2F29">
            <w:pPr>
              <w:jc w:val="center"/>
              <w:rPr>
                <w:lang w:eastAsia="en-US"/>
              </w:rPr>
            </w:pPr>
            <w:r w:rsidRPr="00391C26">
              <w:rPr>
                <w:sz w:val="22"/>
                <w:szCs w:val="22"/>
                <w:lang w:eastAsia="en-US"/>
              </w:rPr>
              <w:t>0,41</w:t>
            </w:r>
          </w:p>
        </w:tc>
      </w:tr>
    </w:tbl>
    <w:p w:rsidR="005D2F29" w:rsidRPr="007149AF" w:rsidRDefault="005D2F29" w:rsidP="005D2F29">
      <w:pPr>
        <w:ind w:firstLine="708"/>
        <w:rPr>
          <w:sz w:val="16"/>
          <w:szCs w:val="16"/>
        </w:rPr>
      </w:pPr>
    </w:p>
    <w:p w:rsidR="005D2F29" w:rsidRDefault="005D2F29" w:rsidP="007149AF">
      <w:pPr>
        <w:ind w:firstLine="708"/>
        <w:jc w:val="both"/>
      </w:pPr>
      <w:r w:rsidRPr="00391C26">
        <w:t>Следует отметить, что по сравнению с 2018 годом удельный вес проб почвы, не соответствующих гигиеническим нормативам по санитарно-химическим и микробиологическим показателям уменьшился соответственно в 1,7 и 1,6 раза.</w:t>
      </w:r>
    </w:p>
    <w:p w:rsidR="005D2F29" w:rsidRPr="007149AF" w:rsidRDefault="005D2F29" w:rsidP="005D2F29">
      <w:pPr>
        <w:ind w:firstLine="708"/>
        <w:rPr>
          <w:sz w:val="16"/>
          <w:szCs w:val="16"/>
        </w:rPr>
      </w:pPr>
    </w:p>
    <w:p w:rsidR="005D2F29" w:rsidRDefault="005D2F29" w:rsidP="005D2F29">
      <w:r>
        <w:rPr>
          <w:noProof/>
        </w:rPr>
        <w:drawing>
          <wp:inline distT="0" distB="0" distL="0" distR="0">
            <wp:extent cx="5734050" cy="2579370"/>
            <wp:effectExtent l="19050" t="19050" r="19050" b="11430"/>
            <wp:docPr id="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srcRect/>
                    <a:stretch>
                      <a:fillRect/>
                    </a:stretch>
                  </pic:blipFill>
                  <pic:spPr bwMode="auto">
                    <a:xfrm>
                      <a:off x="0" y="0"/>
                      <a:ext cx="5730240" cy="2577656"/>
                    </a:xfrm>
                    <a:prstGeom prst="rect">
                      <a:avLst/>
                    </a:prstGeom>
                    <a:noFill/>
                    <a:ln w="6350" cmpd="sng">
                      <a:solidFill>
                        <a:srgbClr val="000000"/>
                      </a:solidFill>
                      <a:miter lim="800000"/>
                      <a:headEnd/>
                      <a:tailEnd/>
                    </a:ln>
                    <a:effectLst/>
                  </pic:spPr>
                </pic:pic>
              </a:graphicData>
            </a:graphic>
          </wp:inline>
        </w:drawing>
      </w:r>
    </w:p>
    <w:p w:rsidR="005D2F29" w:rsidRDefault="005D2F29" w:rsidP="005D2F29">
      <w:pPr>
        <w:jc w:val="center"/>
        <w:rPr>
          <w:bCs/>
        </w:rPr>
      </w:pPr>
    </w:p>
    <w:p w:rsidR="005D2F29" w:rsidRDefault="005D2F29" w:rsidP="005D2F29">
      <w:pPr>
        <w:jc w:val="center"/>
        <w:rPr>
          <w:bCs/>
          <w:sz w:val="22"/>
          <w:szCs w:val="22"/>
        </w:rPr>
      </w:pPr>
      <w:r w:rsidRPr="001853B2">
        <w:rPr>
          <w:bCs/>
          <w:sz w:val="22"/>
          <w:szCs w:val="22"/>
        </w:rPr>
        <w:t>Рис. 7. Удельный вес проб почвы, несоответствующих</w:t>
      </w:r>
    </w:p>
    <w:p w:rsidR="005D2F29" w:rsidRPr="001853B2" w:rsidRDefault="005D2F29" w:rsidP="005D2F29">
      <w:pPr>
        <w:jc w:val="center"/>
        <w:rPr>
          <w:bCs/>
          <w:sz w:val="22"/>
          <w:szCs w:val="22"/>
        </w:rPr>
      </w:pPr>
      <w:r w:rsidRPr="001853B2">
        <w:rPr>
          <w:bCs/>
          <w:sz w:val="22"/>
          <w:szCs w:val="22"/>
        </w:rPr>
        <w:t>гигиеническим нормативам за 2015-2019 гг.</w:t>
      </w:r>
    </w:p>
    <w:p w:rsidR="005D2F29" w:rsidRPr="001853B2" w:rsidRDefault="005D2F29" w:rsidP="005D2F29">
      <w:pPr>
        <w:jc w:val="center"/>
        <w:rPr>
          <w:b/>
        </w:rPr>
      </w:pPr>
      <w:r w:rsidRPr="001853B2">
        <w:rPr>
          <w:b/>
        </w:rPr>
        <w:lastRenderedPageBreak/>
        <w:t>Гигиенические проблемы санитарной охраны почвы</w:t>
      </w:r>
    </w:p>
    <w:p w:rsidR="005D2F29" w:rsidRPr="001853B2" w:rsidRDefault="005D2F29" w:rsidP="005D2F29">
      <w:pPr>
        <w:jc w:val="center"/>
        <w:rPr>
          <w:b/>
        </w:rPr>
      </w:pPr>
      <w:r w:rsidRPr="001853B2">
        <w:rPr>
          <w:b/>
        </w:rPr>
        <w:t>Состояние почвы селитебных территорий и её влияние на здоровье человека</w:t>
      </w:r>
    </w:p>
    <w:p w:rsidR="005D2F29" w:rsidRPr="007149AF" w:rsidRDefault="005D2F29" w:rsidP="005D2F29">
      <w:pPr>
        <w:spacing w:line="360" w:lineRule="auto"/>
        <w:jc w:val="center"/>
        <w:rPr>
          <w:b/>
          <w:sz w:val="16"/>
          <w:szCs w:val="16"/>
        </w:rPr>
      </w:pPr>
    </w:p>
    <w:p w:rsidR="005D2F29" w:rsidRPr="00391C26" w:rsidRDefault="007149AF" w:rsidP="007149AF">
      <w:pPr>
        <w:ind w:firstLine="709"/>
        <w:jc w:val="both"/>
      </w:pPr>
      <w:r>
        <w:t xml:space="preserve">В 2019 году </w:t>
      </w:r>
      <w:r w:rsidR="005D2F29" w:rsidRPr="00391C26">
        <w:t>в общем количестве исследований по сан</w:t>
      </w:r>
      <w:r>
        <w:t xml:space="preserve">итарно-химическим показателям 66,6% составили исследования почвы селитебной зоны, из них 4,24% </w:t>
      </w:r>
      <w:r w:rsidR="005D2F29" w:rsidRPr="00391C26">
        <w:t xml:space="preserve">не соответствовали требованиям гигиенических нормативов (2018 год – 6,2% ). </w:t>
      </w:r>
    </w:p>
    <w:p w:rsidR="005D2F29" w:rsidRPr="00391C26" w:rsidRDefault="007149AF" w:rsidP="007149AF">
      <w:pPr>
        <w:ind w:firstLine="709"/>
        <w:jc w:val="both"/>
      </w:pPr>
      <w:r>
        <w:t>Пробы почвы, с превышением ПДК</w:t>
      </w:r>
      <w:r w:rsidR="005D2F29" w:rsidRPr="00391C26">
        <w:t xml:space="preserve"> по санитарно-химическим показателям, в 2019 г. зарегистрированы в г.о.г. Н.Новгород, г.Кстово. (табл.17)</w:t>
      </w:r>
    </w:p>
    <w:p w:rsidR="005D2F29" w:rsidRPr="00391C26" w:rsidRDefault="005D2F29" w:rsidP="007149AF">
      <w:pPr>
        <w:ind w:firstLine="708"/>
        <w:jc w:val="both"/>
      </w:pPr>
      <w:r w:rsidRPr="00391C26">
        <w:t>Удельный вес проб  почвы селитебной зоны, с превышением гигиенических нормативов  по содержанию тяжёлых металлов по отношению к</w:t>
      </w:r>
      <w:r w:rsidR="007149AF">
        <w:t xml:space="preserve"> 2018 году снизился в 1,5 раза.</w:t>
      </w:r>
    </w:p>
    <w:p w:rsidR="005D2F29" w:rsidRPr="007149AF" w:rsidRDefault="005D2F29" w:rsidP="005D2F29">
      <w:pPr>
        <w:ind w:firstLine="708"/>
        <w:rPr>
          <w:sz w:val="16"/>
          <w:szCs w:val="16"/>
        </w:rPr>
      </w:pPr>
    </w:p>
    <w:p w:rsidR="005D2F29" w:rsidRPr="00391C26" w:rsidRDefault="005D2F29" w:rsidP="005D2F29">
      <w:pPr>
        <w:jc w:val="right"/>
      </w:pPr>
      <w:r w:rsidRPr="00391C26">
        <w:t>Таблица №17</w:t>
      </w:r>
    </w:p>
    <w:p w:rsidR="005D2F29" w:rsidRPr="00391C26" w:rsidRDefault="005D2F29" w:rsidP="007149AF">
      <w:pPr>
        <w:jc w:val="center"/>
        <w:rPr>
          <w:b/>
        </w:rPr>
      </w:pPr>
      <w:r w:rsidRPr="00391C26">
        <w:rPr>
          <w:b/>
        </w:rPr>
        <w:t>Удельный вес проб почв в селитебной зоне,  превышающий гигиенические</w:t>
      </w:r>
    </w:p>
    <w:p w:rsidR="005D2F29" w:rsidRPr="00391C26" w:rsidRDefault="005D2F29" w:rsidP="007149AF">
      <w:pPr>
        <w:jc w:val="center"/>
        <w:rPr>
          <w:b/>
        </w:rPr>
      </w:pPr>
      <w:r w:rsidRPr="00391C26">
        <w:rPr>
          <w:b/>
        </w:rPr>
        <w:t>нормативы по содержанию тяжелых металлов</w:t>
      </w:r>
    </w:p>
    <w:p w:rsidR="005D2F29" w:rsidRPr="007149AF" w:rsidRDefault="005D2F29" w:rsidP="007149AF">
      <w:pPr>
        <w:jc w:val="right"/>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21"/>
        <w:gridCol w:w="1884"/>
        <w:gridCol w:w="1885"/>
        <w:gridCol w:w="1885"/>
      </w:tblGrid>
      <w:tr w:rsidR="005D2F29" w:rsidRPr="00391C26" w:rsidTr="005D2F29">
        <w:trPr>
          <w:tblHeader/>
          <w:jc w:val="center"/>
        </w:trPr>
        <w:tc>
          <w:tcPr>
            <w:tcW w:w="2021"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Показатели</w:t>
            </w:r>
          </w:p>
        </w:tc>
        <w:tc>
          <w:tcPr>
            <w:tcW w:w="5654" w:type="dxa"/>
            <w:gridSpan w:val="3"/>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Удельный вес проб, превышающих гигиенические нормативы, %</w:t>
            </w:r>
          </w:p>
        </w:tc>
      </w:tr>
      <w:tr w:rsidR="005D2F29" w:rsidRPr="00391C26" w:rsidTr="005D2F29">
        <w:trPr>
          <w:tblHeader/>
          <w:jc w:val="center"/>
        </w:trPr>
        <w:tc>
          <w:tcPr>
            <w:tcW w:w="2021"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p>
        </w:tc>
        <w:tc>
          <w:tcPr>
            <w:tcW w:w="1884"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2017</w:t>
            </w:r>
          </w:p>
        </w:tc>
        <w:tc>
          <w:tcPr>
            <w:tcW w:w="1885"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2018</w:t>
            </w:r>
          </w:p>
        </w:tc>
        <w:tc>
          <w:tcPr>
            <w:tcW w:w="1885"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2019</w:t>
            </w:r>
          </w:p>
        </w:tc>
      </w:tr>
      <w:tr w:rsidR="005D2F29" w:rsidRPr="00391C26" w:rsidTr="005D2F29">
        <w:trPr>
          <w:jc w:val="center"/>
        </w:trPr>
        <w:tc>
          <w:tcPr>
            <w:tcW w:w="2021"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rPr>
                <w:lang w:eastAsia="en-US"/>
              </w:rPr>
            </w:pPr>
            <w:r w:rsidRPr="00391C26">
              <w:rPr>
                <w:sz w:val="22"/>
                <w:szCs w:val="22"/>
                <w:lang w:eastAsia="en-US"/>
              </w:rPr>
              <w:t>Тяжелые металлы</w:t>
            </w:r>
          </w:p>
        </w:tc>
        <w:tc>
          <w:tcPr>
            <w:tcW w:w="1884"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1,75</w:t>
            </w:r>
          </w:p>
        </w:tc>
        <w:tc>
          <w:tcPr>
            <w:tcW w:w="1885"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5,34</w:t>
            </w:r>
          </w:p>
        </w:tc>
        <w:tc>
          <w:tcPr>
            <w:tcW w:w="1885"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3,42</w:t>
            </w:r>
          </w:p>
        </w:tc>
      </w:tr>
      <w:tr w:rsidR="005D2F29" w:rsidRPr="00391C26" w:rsidTr="005D2F29">
        <w:trPr>
          <w:jc w:val="center"/>
        </w:trPr>
        <w:tc>
          <w:tcPr>
            <w:tcW w:w="2021"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rPr>
                <w:lang w:eastAsia="en-US"/>
              </w:rPr>
            </w:pPr>
            <w:r w:rsidRPr="00391C26">
              <w:rPr>
                <w:sz w:val="22"/>
                <w:szCs w:val="22"/>
                <w:lang w:eastAsia="en-US"/>
              </w:rPr>
              <w:t>Ртуть</w:t>
            </w:r>
          </w:p>
        </w:tc>
        <w:tc>
          <w:tcPr>
            <w:tcW w:w="1884"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0,0</w:t>
            </w:r>
          </w:p>
        </w:tc>
        <w:tc>
          <w:tcPr>
            <w:tcW w:w="1885"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0,43</w:t>
            </w:r>
          </w:p>
        </w:tc>
        <w:tc>
          <w:tcPr>
            <w:tcW w:w="1885"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0,0</w:t>
            </w:r>
          </w:p>
        </w:tc>
      </w:tr>
      <w:tr w:rsidR="005D2F29" w:rsidRPr="00391C26" w:rsidTr="005D2F29">
        <w:trPr>
          <w:jc w:val="center"/>
        </w:trPr>
        <w:tc>
          <w:tcPr>
            <w:tcW w:w="2021"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rPr>
                <w:lang w:eastAsia="en-US"/>
              </w:rPr>
            </w:pPr>
            <w:r w:rsidRPr="00391C26">
              <w:rPr>
                <w:sz w:val="22"/>
                <w:szCs w:val="22"/>
                <w:lang w:eastAsia="en-US"/>
              </w:rPr>
              <w:t>Свинец</w:t>
            </w:r>
          </w:p>
        </w:tc>
        <w:tc>
          <w:tcPr>
            <w:tcW w:w="1884"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0,78</w:t>
            </w:r>
          </w:p>
        </w:tc>
        <w:tc>
          <w:tcPr>
            <w:tcW w:w="1885"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1,58</w:t>
            </w:r>
          </w:p>
        </w:tc>
        <w:tc>
          <w:tcPr>
            <w:tcW w:w="1885"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2,22</w:t>
            </w:r>
          </w:p>
        </w:tc>
      </w:tr>
      <w:tr w:rsidR="005D2F29" w:rsidRPr="00391C26" w:rsidTr="005D2F29">
        <w:trPr>
          <w:jc w:val="center"/>
        </w:trPr>
        <w:tc>
          <w:tcPr>
            <w:tcW w:w="2021"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rPr>
                <w:lang w:eastAsia="en-US"/>
              </w:rPr>
            </w:pPr>
            <w:r w:rsidRPr="00391C26">
              <w:rPr>
                <w:sz w:val="22"/>
                <w:szCs w:val="22"/>
                <w:lang w:eastAsia="en-US"/>
              </w:rPr>
              <w:t>Кадмий</w:t>
            </w:r>
          </w:p>
        </w:tc>
        <w:tc>
          <w:tcPr>
            <w:tcW w:w="1884"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0,34</w:t>
            </w:r>
          </w:p>
        </w:tc>
        <w:tc>
          <w:tcPr>
            <w:tcW w:w="1885"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0,00</w:t>
            </w:r>
          </w:p>
        </w:tc>
        <w:tc>
          <w:tcPr>
            <w:tcW w:w="1885" w:type="dxa"/>
            <w:tcBorders>
              <w:top w:val="single" w:sz="4" w:space="0" w:color="auto"/>
              <w:left w:val="single" w:sz="4" w:space="0" w:color="auto"/>
              <w:bottom w:val="single" w:sz="4" w:space="0" w:color="auto"/>
              <w:right w:val="single" w:sz="4" w:space="0" w:color="auto"/>
            </w:tcBorders>
          </w:tcPr>
          <w:p w:rsidR="005D2F29" w:rsidRPr="00391C26" w:rsidRDefault="005D2F29" w:rsidP="007149AF">
            <w:pPr>
              <w:jc w:val="center"/>
              <w:rPr>
                <w:lang w:eastAsia="en-US"/>
              </w:rPr>
            </w:pPr>
            <w:r w:rsidRPr="00391C26">
              <w:rPr>
                <w:sz w:val="22"/>
                <w:szCs w:val="22"/>
                <w:lang w:eastAsia="en-US"/>
              </w:rPr>
              <w:t>0,64</w:t>
            </w:r>
          </w:p>
        </w:tc>
      </w:tr>
    </w:tbl>
    <w:p w:rsidR="005D2F29" w:rsidRPr="007149AF" w:rsidRDefault="005D2F29" w:rsidP="005D2F29">
      <w:pPr>
        <w:spacing w:line="360" w:lineRule="auto"/>
        <w:rPr>
          <w:sz w:val="16"/>
          <w:szCs w:val="16"/>
        </w:rPr>
      </w:pPr>
    </w:p>
    <w:p w:rsidR="005D2F29" w:rsidRPr="00391C26" w:rsidRDefault="005D2F29" w:rsidP="007149AF">
      <w:pPr>
        <w:ind w:firstLine="709"/>
        <w:jc w:val="both"/>
      </w:pPr>
      <w:r w:rsidRPr="00391C26">
        <w:t xml:space="preserve">Удельный вес проб почвы селитебной зоны, не отвечающих гигиеническим нормативам по микробиологическим показателям, в 2019 году составил 6,5% (в 2018 г. – 10,1%); по паразитологическим показателям 1,08% (в 2018 г. – 0,24%). </w:t>
      </w:r>
    </w:p>
    <w:p w:rsidR="005D2F29" w:rsidRPr="00391C26" w:rsidRDefault="005D2F29" w:rsidP="007149AF">
      <w:pPr>
        <w:ind w:firstLine="709"/>
        <w:jc w:val="both"/>
      </w:pPr>
      <w:r w:rsidRPr="00391C26">
        <w:t>По микробиологическим показателям превышение среднеобластного уровня зарегистрировано в Бутурлинском, Большемурашкинском, Богородском, Сосновском, Балахнинском районах, г.о.г. Н.Новгород, г.о.г. Выкса, Краснобаковском, Кулебакском, Навашинском, Сокольском районах.</w:t>
      </w:r>
    </w:p>
    <w:p w:rsidR="005D2F29" w:rsidRPr="00391C26" w:rsidRDefault="005D2F29" w:rsidP="007149AF">
      <w:pPr>
        <w:ind w:firstLine="708"/>
        <w:jc w:val="both"/>
      </w:pPr>
      <w:r w:rsidRPr="00391C26">
        <w:t xml:space="preserve">Удельный вес проб почвы, отобранных на территории детских учреждений и площадок, не отвечающих  нормативному значению по микробиологическим показателям,  составил 3,2% (в 2018 г. – 2,1%), по санитарно-химическим и паразитологическим показателям соответствовали требованиям гигиенических нормативов. </w:t>
      </w:r>
    </w:p>
    <w:p w:rsidR="005D2F29" w:rsidRPr="007149AF" w:rsidRDefault="005D2F29" w:rsidP="005D2F29">
      <w:pPr>
        <w:suppressAutoHyphens/>
        <w:spacing w:line="276" w:lineRule="auto"/>
        <w:jc w:val="center"/>
        <w:rPr>
          <w:b/>
          <w:i/>
          <w:sz w:val="16"/>
          <w:szCs w:val="16"/>
        </w:rPr>
      </w:pPr>
    </w:p>
    <w:p w:rsidR="005D2F29" w:rsidRPr="00391C26" w:rsidRDefault="005D2F29" w:rsidP="005D2F29">
      <w:pPr>
        <w:suppressAutoHyphens/>
        <w:spacing w:line="276" w:lineRule="auto"/>
        <w:jc w:val="center"/>
        <w:rPr>
          <w:i/>
        </w:rPr>
      </w:pPr>
      <w:r w:rsidRPr="00391C26">
        <w:rPr>
          <w:b/>
          <w:i/>
        </w:rPr>
        <w:t>Обращение с отходами производства и потребления в Нижегородской области</w:t>
      </w:r>
    </w:p>
    <w:p w:rsidR="005D2F29" w:rsidRPr="007149AF" w:rsidRDefault="005D2F29" w:rsidP="007149AF">
      <w:pPr>
        <w:jc w:val="both"/>
        <w:rPr>
          <w:b/>
          <w:i/>
          <w:sz w:val="16"/>
          <w:szCs w:val="16"/>
        </w:rPr>
      </w:pPr>
    </w:p>
    <w:p w:rsidR="005D2F29" w:rsidRPr="00391C26" w:rsidRDefault="005D2F29" w:rsidP="007149AF">
      <w:pPr>
        <w:ind w:firstLine="708"/>
        <w:jc w:val="both"/>
      </w:pPr>
      <w:r w:rsidRPr="00391C26">
        <w:t>В 2019 году в Нижегородской области продолжалась работа по реализации и внедрению системы обращения с отходами, предусматривающей, в том числе,  организацию сист</w:t>
      </w:r>
      <w:r w:rsidR="007149AF">
        <w:t>емы  раздельного сбора отходов.</w:t>
      </w:r>
    </w:p>
    <w:p w:rsidR="005D2F29" w:rsidRPr="00391C26" w:rsidRDefault="007149AF" w:rsidP="007149AF">
      <w:pPr>
        <w:ind w:firstLine="708"/>
        <w:jc w:val="both"/>
      </w:pPr>
      <w:r>
        <w:rPr>
          <w:lang w:eastAsia="ar-SA"/>
        </w:rPr>
        <w:t xml:space="preserve">Согласно </w:t>
      </w:r>
      <w:r>
        <w:t xml:space="preserve">«Территориальной </w:t>
      </w:r>
      <w:r w:rsidR="005D2F29" w:rsidRPr="00391C26">
        <w:t>схемы обращения с отходами, в том числе с тве</w:t>
      </w:r>
      <w:r>
        <w:t xml:space="preserve">рдыми коммунальными отходами, </w:t>
      </w:r>
      <w:r w:rsidR="005D2F29" w:rsidRPr="00391C26">
        <w:t>Нижегородской области», утверждённой 18.11.2019 г. Постановлением  Правительства Нижегородской области № 843 область поделена на 9 кластеров, обслуживаем</w:t>
      </w:r>
      <w:r>
        <w:t>ых 7 региональными операторами.</w:t>
      </w:r>
    </w:p>
    <w:p w:rsidR="005D2F29" w:rsidRPr="00391C26" w:rsidRDefault="005D2F29" w:rsidP="007149AF">
      <w:pPr>
        <w:ind w:firstLine="708"/>
        <w:jc w:val="both"/>
      </w:pPr>
      <w:r w:rsidRPr="00391C26">
        <w:t xml:space="preserve">Эксплуатируется 13 полигонов, из них 5 межмуниципальных комплексов обработки и размещения твердых коммунальных отходов: в г.о.г. Дзержинск (ООО "МАГ Груп"), в Городецком и Балахнинском муниципальных районах (АО "Управление отходами-НН"), в Богородском муниципальном районе (ООО "ОРБ Нижний),  в Кстовском муниципальном районе (ООО "Реал-Кстово"). </w:t>
      </w:r>
      <w:r w:rsidRPr="00391C26">
        <w:rPr>
          <w:lang w:eastAsia="ar-SA"/>
        </w:rPr>
        <w:t>Все полигоны имеют организованные санитарно-защитные зоны в соответствии с требованиями действующег</w:t>
      </w:r>
      <w:r w:rsidR="007149AF">
        <w:rPr>
          <w:lang w:eastAsia="ar-SA"/>
        </w:rPr>
        <w:t>о санитарного законодательства.</w:t>
      </w:r>
    </w:p>
    <w:p w:rsidR="005D2F29" w:rsidRPr="00391C26" w:rsidRDefault="007149AF" w:rsidP="007149AF">
      <w:pPr>
        <w:pStyle w:val="afffe"/>
        <w:ind w:firstLine="708"/>
        <w:jc w:val="both"/>
        <w:rPr>
          <w:color w:val="auto"/>
        </w:rPr>
      </w:pPr>
      <w:r>
        <w:rPr>
          <w:color w:val="auto"/>
        </w:rPr>
        <w:t xml:space="preserve">На территории области </w:t>
      </w:r>
      <w:r w:rsidR="005D2F29" w:rsidRPr="00391C26">
        <w:rPr>
          <w:color w:val="auto"/>
        </w:rPr>
        <w:t>действуют 6 мусороперегрузочных станций.</w:t>
      </w:r>
    </w:p>
    <w:p w:rsidR="005D2F29" w:rsidRPr="00391C26" w:rsidRDefault="005D2F29" w:rsidP="007149AF">
      <w:pPr>
        <w:pStyle w:val="afffe"/>
        <w:ind w:firstLine="708"/>
        <w:jc w:val="both"/>
        <w:rPr>
          <w:color w:val="auto"/>
        </w:rPr>
      </w:pPr>
      <w:r w:rsidRPr="00391C26">
        <w:rPr>
          <w:rFonts w:eastAsia="Times New Roman"/>
          <w:color w:val="auto"/>
          <w:lang w:eastAsia="en-US"/>
        </w:rPr>
        <w:lastRenderedPageBreak/>
        <w:t xml:space="preserve">С 2019 года в Нижегородской области реализуется </w:t>
      </w:r>
      <w:r w:rsidRPr="00391C26">
        <w:rPr>
          <w:color w:val="auto"/>
        </w:rPr>
        <w:t xml:space="preserve">«Программа обращения с отходами, в том числе с твердыми коммунальными отходами, на территории Нижегородской области на период 2019-2024 годов» (утверждена постановлением Правительства Нижегородской области № 446 от </w:t>
      </w:r>
      <w:r w:rsidR="007149AF">
        <w:rPr>
          <w:color w:val="auto"/>
        </w:rPr>
        <w:t xml:space="preserve">17.07.2019), согласно которой, </w:t>
      </w:r>
      <w:r w:rsidRPr="00391C26">
        <w:rPr>
          <w:color w:val="auto"/>
        </w:rPr>
        <w:t>планируется завершение строительства недостающих межмуниципальных комплексов обработки</w:t>
      </w:r>
      <w:r w:rsidR="007149AF">
        <w:rPr>
          <w:color w:val="auto"/>
        </w:rPr>
        <w:t xml:space="preserve"> и размещения ТКО  к 2023 году </w:t>
      </w:r>
      <w:r w:rsidRPr="00391C26">
        <w:rPr>
          <w:color w:val="auto"/>
        </w:rPr>
        <w:t>в Арзамасском, Уренском муниципальных районах и городском округе Навашинский.</w:t>
      </w:r>
    </w:p>
    <w:p w:rsidR="005D2F29" w:rsidRPr="00391C26" w:rsidRDefault="005D2F29" w:rsidP="007149AF">
      <w:pPr>
        <w:ind w:firstLine="708"/>
        <w:jc w:val="both"/>
        <w:rPr>
          <w:sz w:val="28"/>
          <w:szCs w:val="28"/>
        </w:rPr>
      </w:pPr>
      <w:r w:rsidRPr="00391C26">
        <w:t xml:space="preserve">В рамках реализации Постановления Правительства РФ от 31.08.2018г. № 1039 «Правила обустройства мест (площадок) накопления твердых коммунальных отходов и ведения их реестра»  Управлением совместно с органами </w:t>
      </w:r>
      <w:r w:rsidRPr="00391C26">
        <w:rPr>
          <w:lang w:eastAsia="en-US"/>
        </w:rPr>
        <w:t>местного самоуправления проводилась активная работа по внесению изменений в схемы генера</w:t>
      </w:r>
      <w:r w:rsidR="007149AF">
        <w:rPr>
          <w:lang w:eastAsia="en-US"/>
        </w:rPr>
        <w:t xml:space="preserve">льной очистки населённых мест, </w:t>
      </w:r>
      <w:r w:rsidRPr="00391C26">
        <w:rPr>
          <w:lang w:eastAsia="en-US"/>
        </w:rPr>
        <w:t xml:space="preserve">в </w:t>
      </w:r>
      <w:r w:rsidR="007149AF">
        <w:rPr>
          <w:lang w:eastAsia="en-US"/>
        </w:rPr>
        <w:t>реестры мест накопления отходов</w:t>
      </w:r>
      <w:r w:rsidRPr="00391C26">
        <w:rPr>
          <w:lang w:eastAsia="en-US"/>
        </w:rPr>
        <w:t xml:space="preserve"> городов и районов области с учётом требований санитарного законодательства, </w:t>
      </w:r>
      <w:r w:rsidRPr="00391C26">
        <w:t>приведению мест накопления в соответствие с требованиями санитарного законодательства.</w:t>
      </w:r>
      <w:r w:rsidRPr="00391C26">
        <w:rPr>
          <w:sz w:val="28"/>
          <w:szCs w:val="28"/>
        </w:rPr>
        <w:t xml:space="preserve"> </w:t>
      </w:r>
      <w:r w:rsidRPr="00391C26">
        <w:t xml:space="preserve">Управлением на территории Нижегородской области </w:t>
      </w:r>
      <w:r w:rsidRPr="00391C26">
        <w:rPr>
          <w:shd w:val="clear" w:color="auto" w:fill="FFFFFF"/>
        </w:rPr>
        <w:t xml:space="preserve"> </w:t>
      </w:r>
      <w:r w:rsidRPr="00391C26">
        <w:t>было согласовано 4625 площадок накопления твердых коммунальных отходов  на 10547 контейн</w:t>
      </w:r>
      <w:r w:rsidR="007149AF">
        <w:t xml:space="preserve">еров (рассмотрено 577 заявок). </w:t>
      </w:r>
      <w:r w:rsidRPr="00391C26">
        <w:t>Территориальной схемой в Нижегородской</w:t>
      </w:r>
      <w:r w:rsidR="007149AF">
        <w:t xml:space="preserve"> области определено размещение </w:t>
      </w:r>
      <w:r w:rsidRPr="00391C26">
        <w:t>22 430 мест накопления отходов, с общим количеством контейнеров – 43 208.</w:t>
      </w:r>
    </w:p>
    <w:p w:rsidR="005D2F29" w:rsidRPr="00391C26" w:rsidRDefault="005D2F29" w:rsidP="007149AF">
      <w:pPr>
        <w:ind w:firstLine="540"/>
        <w:jc w:val="both"/>
      </w:pPr>
      <w:r w:rsidRPr="00391C26">
        <w:t xml:space="preserve">Активно проводится работа по реализации на территории Нижегородской области раздельного сбора отходов. Порядок накопления ТКО (в том числе их раздельного накопления) на территории Нижегороской области утвержден Постановлением Правительства Нижегородской области от 05.06.2018 г.№ 407. Предусмотрено раздельное накопление отходов, используемых в качестве вторичных ресурсов, и ТКО, не подлежащих сортировке. В 2019 году закуплено дополгнительно 8125 контейнеров, в том числе 2268 контейнеров для раздельного сбора, в Нижнем Новгороде установлено 35 мобильных экопунктов. </w:t>
      </w:r>
    </w:p>
    <w:p w:rsidR="005D2F29" w:rsidRPr="00391C26" w:rsidRDefault="005D2F29" w:rsidP="007149AF">
      <w:pPr>
        <w:pStyle w:val="12"/>
        <w:spacing w:after="0" w:line="240" w:lineRule="auto"/>
        <w:ind w:left="0"/>
        <w:rPr>
          <w:rFonts w:ascii="Times New Roman" w:hAnsi="Times New Roman"/>
          <w:sz w:val="24"/>
          <w:szCs w:val="24"/>
        </w:rPr>
      </w:pPr>
      <w:r w:rsidRPr="00391C26">
        <w:rPr>
          <w:rFonts w:ascii="Times New Roman" w:hAnsi="Times New Roman"/>
          <w:sz w:val="24"/>
          <w:szCs w:val="24"/>
        </w:rPr>
        <w:t xml:space="preserve">Проблема размещения отходов решается с помощью внедрения технологий по переработке отходов, являющихся вторичными материальными ресурсами. </w:t>
      </w:r>
      <w:r w:rsidRPr="00391C26">
        <w:rPr>
          <w:rFonts w:ascii="Times New Roman" w:hAnsi="Times New Roman"/>
          <w:sz w:val="24"/>
          <w:szCs w:val="24"/>
          <w:lang w:eastAsia="ar-SA"/>
        </w:rPr>
        <w:t>В</w:t>
      </w:r>
      <w:r w:rsidRPr="00391C26">
        <w:rPr>
          <w:rFonts w:ascii="Times New Roman" w:hAnsi="Times New Roman"/>
          <w:sz w:val="24"/>
          <w:szCs w:val="24"/>
        </w:rPr>
        <w:t xml:space="preserve"> области   имеются участки по переработке резино-технических изделий, аккумуляторов, бумаги и картона (всего работают 33 предп</w:t>
      </w:r>
      <w:r w:rsidR="007149AF">
        <w:rPr>
          <w:rFonts w:ascii="Times New Roman" w:hAnsi="Times New Roman"/>
          <w:sz w:val="24"/>
          <w:szCs w:val="24"/>
        </w:rPr>
        <w:t>риятия).</w:t>
      </w:r>
    </w:p>
    <w:p w:rsidR="005D2F29" w:rsidRPr="00391C26" w:rsidRDefault="005D2F29" w:rsidP="007149AF">
      <w:pPr>
        <w:ind w:firstLine="567"/>
        <w:jc w:val="both"/>
      </w:pPr>
      <w:r w:rsidRPr="00391C26">
        <w:t>За выявленные нарушения по разделу сбора, обработки и утилизации отходов в 2019 году составлено 25 протоколов, внесено постановлений о наложении штрафа на сумму 591,5 тыс.рублей, 3 дела передано на нассмотрение в суд.</w:t>
      </w:r>
    </w:p>
    <w:p w:rsidR="005D2F29" w:rsidRPr="00391C26" w:rsidRDefault="005D2F29" w:rsidP="007149AF">
      <w:pPr>
        <w:tabs>
          <w:tab w:val="left" w:pos="540"/>
        </w:tabs>
        <w:ind w:firstLine="709"/>
        <w:jc w:val="both"/>
      </w:pPr>
      <w:r w:rsidRPr="00391C26">
        <w:t>Факты приёма на полигоны ТКО несанкционированных промышленных отходов в 2019 г. Управлением не выявлялись.</w:t>
      </w:r>
    </w:p>
    <w:p w:rsidR="005D2F29" w:rsidRPr="00391C26" w:rsidRDefault="005D2F29" w:rsidP="007149AF">
      <w:pPr>
        <w:tabs>
          <w:tab w:val="left" w:pos="540"/>
        </w:tabs>
        <w:ind w:firstLine="709"/>
        <w:jc w:val="both"/>
      </w:pPr>
      <w:r w:rsidRPr="00391C26">
        <w:t>В системе санитарной очистки населённых мест основными проблемами являются: на</w:t>
      </w:r>
      <w:r w:rsidR="007149AF">
        <w:t xml:space="preserve">рушение нормативных расстояний </w:t>
      </w:r>
      <w:r w:rsidRPr="00391C26">
        <w:t>от площадок установк</w:t>
      </w:r>
      <w:r w:rsidR="007149AF">
        <w:t xml:space="preserve">и контейнеров до жилого фонда, </w:t>
      </w:r>
      <w:r w:rsidRPr="00391C26">
        <w:t>наличие контей</w:t>
      </w:r>
      <w:r w:rsidR="007149AF">
        <w:t xml:space="preserve">нерных площадок без </w:t>
      </w:r>
      <w:r w:rsidRPr="00391C26">
        <w:t>твёрдого осно</w:t>
      </w:r>
      <w:r w:rsidR="007149AF">
        <w:t xml:space="preserve">вания,  особенно на территории </w:t>
      </w:r>
      <w:r w:rsidRPr="00391C26">
        <w:t xml:space="preserve">частной жилой застройки </w:t>
      </w:r>
      <w:r w:rsidR="007149AF">
        <w:t xml:space="preserve">и сельских населённых пунктов; </w:t>
      </w:r>
      <w:r w:rsidRPr="00391C26">
        <w:t>отсутствие системы обработки и дезинфекции контейн</w:t>
      </w:r>
      <w:r w:rsidR="007149AF">
        <w:t xml:space="preserve">еров и транспорта для доставки </w:t>
      </w:r>
      <w:r w:rsidRPr="00391C26">
        <w:t>ТКО к м</w:t>
      </w:r>
      <w:r w:rsidR="007149AF">
        <w:t xml:space="preserve">естам размещения и утилизации; </w:t>
      </w:r>
      <w:r w:rsidRPr="00391C26">
        <w:t xml:space="preserve">отсутствие обустроенных, в соответствии с </w:t>
      </w:r>
      <w:r w:rsidR="007149AF">
        <w:t xml:space="preserve">требованиями законодательства площадок для приёма снега; </w:t>
      </w:r>
      <w:r w:rsidRPr="00391C26">
        <w:t>сброс жидких отходов  в несанкционированные точки приёма на канализационной сети.</w:t>
      </w:r>
    </w:p>
    <w:p w:rsidR="005D2F29" w:rsidRPr="00391C26" w:rsidRDefault="005D2F29" w:rsidP="007149AF">
      <w:pPr>
        <w:pStyle w:val="12"/>
        <w:spacing w:after="0" w:line="240" w:lineRule="auto"/>
        <w:ind w:left="0"/>
        <w:rPr>
          <w:rFonts w:ascii="Times New Roman" w:hAnsi="Times New Roman"/>
          <w:sz w:val="24"/>
          <w:szCs w:val="24"/>
        </w:rPr>
      </w:pPr>
      <w:r w:rsidRPr="00391C26">
        <w:rPr>
          <w:rFonts w:ascii="Times New Roman" w:hAnsi="Times New Roman"/>
          <w:sz w:val="24"/>
          <w:szCs w:val="24"/>
        </w:rPr>
        <w:t>Принцип безопасного захоронения промышленных отходов является основным в решении вопроса по размещению отходов производства.</w:t>
      </w:r>
    </w:p>
    <w:p w:rsidR="005D2F29" w:rsidRPr="00391C26" w:rsidRDefault="005D2F29" w:rsidP="007149AF">
      <w:pPr>
        <w:pStyle w:val="12"/>
        <w:spacing w:after="0" w:line="240" w:lineRule="auto"/>
        <w:ind w:left="0"/>
        <w:rPr>
          <w:rFonts w:ascii="Times New Roman" w:hAnsi="Times New Roman"/>
          <w:sz w:val="24"/>
          <w:szCs w:val="24"/>
        </w:rPr>
      </w:pPr>
      <w:r w:rsidRPr="00391C26">
        <w:rPr>
          <w:rFonts w:ascii="Times New Roman" w:hAnsi="Times New Roman"/>
          <w:sz w:val="24"/>
          <w:szCs w:val="24"/>
        </w:rPr>
        <w:t>Промышленные полигоны, расположенные в области являются ведомственными и в основном рассчитаны на приём собственных отходов. Таких полигонов в области 4 (ОАО «ВМЗ», г. Выкса, ОАО ЗМЗ, г. Заволжье, ОАО « БорПром», г. Бор, полигон ОАО «ГАЗ», г. Н. Новгород).</w:t>
      </w:r>
    </w:p>
    <w:p w:rsidR="005D2F29" w:rsidRPr="00391C26" w:rsidRDefault="005D2F29" w:rsidP="007149AF">
      <w:pPr>
        <w:pStyle w:val="12"/>
        <w:spacing w:after="0" w:line="240" w:lineRule="auto"/>
        <w:ind w:left="0"/>
        <w:rPr>
          <w:rFonts w:ascii="Times New Roman" w:hAnsi="Times New Roman"/>
          <w:sz w:val="24"/>
          <w:szCs w:val="24"/>
        </w:rPr>
      </w:pPr>
      <w:r w:rsidRPr="00391C26">
        <w:rPr>
          <w:rFonts w:ascii="Times New Roman" w:hAnsi="Times New Roman"/>
          <w:sz w:val="24"/>
          <w:szCs w:val="24"/>
        </w:rPr>
        <w:t>Часть промышленных и строительных отходов 3-4 класса опасности принимается для захоронения на полигоны ТКО, часть – на ведомственные полигоны для захоронения промышленных отходов.</w:t>
      </w:r>
    </w:p>
    <w:p w:rsidR="005D2F29" w:rsidRPr="00391C26" w:rsidRDefault="005D2F29" w:rsidP="005D2F29">
      <w:pPr>
        <w:pStyle w:val="12"/>
        <w:spacing w:after="0" w:line="240" w:lineRule="auto"/>
        <w:ind w:left="0"/>
        <w:rPr>
          <w:rFonts w:ascii="Times New Roman" w:hAnsi="Times New Roman"/>
          <w:sz w:val="24"/>
          <w:szCs w:val="24"/>
        </w:rPr>
      </w:pPr>
      <w:r w:rsidRPr="00391C26">
        <w:rPr>
          <w:rFonts w:ascii="Times New Roman" w:hAnsi="Times New Roman"/>
          <w:sz w:val="24"/>
          <w:szCs w:val="24"/>
        </w:rPr>
        <w:lastRenderedPageBreak/>
        <w:t xml:space="preserve">Промышленные полигоны для отходов 1-2 класса опасности на территории области отсутствуют. </w:t>
      </w:r>
    </w:p>
    <w:p w:rsidR="005D2F29" w:rsidRPr="00391C26" w:rsidRDefault="005D2F29" w:rsidP="005D2F29">
      <w:pPr>
        <w:pStyle w:val="12"/>
        <w:spacing w:after="0" w:line="240" w:lineRule="auto"/>
        <w:ind w:left="0"/>
        <w:rPr>
          <w:rFonts w:ascii="Times New Roman" w:hAnsi="Times New Roman"/>
          <w:sz w:val="24"/>
          <w:szCs w:val="24"/>
        </w:rPr>
      </w:pPr>
      <w:r w:rsidRPr="00391C26">
        <w:rPr>
          <w:rFonts w:ascii="Times New Roman" w:hAnsi="Times New Roman"/>
          <w:sz w:val="24"/>
          <w:szCs w:val="24"/>
        </w:rPr>
        <w:t>Основная масса накопленных отходов приходи</w:t>
      </w:r>
      <w:r w:rsidR="007149AF">
        <w:rPr>
          <w:rFonts w:ascii="Times New Roman" w:hAnsi="Times New Roman"/>
          <w:sz w:val="24"/>
          <w:szCs w:val="24"/>
        </w:rPr>
        <w:t xml:space="preserve">тся на различные шламы и шлаки </w:t>
      </w:r>
      <w:r w:rsidRPr="00391C26">
        <w:rPr>
          <w:rFonts w:ascii="Times New Roman" w:hAnsi="Times New Roman"/>
          <w:sz w:val="24"/>
          <w:szCs w:val="24"/>
        </w:rPr>
        <w:t xml:space="preserve">предприятий энергетического комплекса, химической </w:t>
      </w:r>
      <w:r>
        <w:rPr>
          <w:rFonts w:ascii="Times New Roman" w:hAnsi="Times New Roman"/>
          <w:sz w:val="24"/>
          <w:szCs w:val="24"/>
        </w:rPr>
        <w:t>отрасли и чёрной металлургии (4 </w:t>
      </w:r>
      <w:r w:rsidRPr="00391C26">
        <w:rPr>
          <w:rFonts w:ascii="Times New Roman" w:hAnsi="Times New Roman"/>
          <w:sz w:val="24"/>
          <w:szCs w:val="24"/>
        </w:rPr>
        <w:t xml:space="preserve">класс опасности). Основное накопление остается на </w:t>
      </w:r>
      <w:r>
        <w:rPr>
          <w:rFonts w:ascii="Times New Roman" w:hAnsi="Times New Roman"/>
          <w:sz w:val="24"/>
          <w:szCs w:val="24"/>
        </w:rPr>
        <w:t>промплощадках предприятий г. Н. </w:t>
      </w:r>
      <w:r w:rsidRPr="00391C26">
        <w:rPr>
          <w:rFonts w:ascii="Times New Roman" w:hAnsi="Times New Roman"/>
          <w:sz w:val="24"/>
          <w:szCs w:val="24"/>
        </w:rPr>
        <w:t>Новгород</w:t>
      </w:r>
      <w:r w:rsidR="007149AF">
        <w:rPr>
          <w:rFonts w:ascii="Times New Roman" w:hAnsi="Times New Roman"/>
          <w:sz w:val="24"/>
          <w:szCs w:val="24"/>
        </w:rPr>
        <w:t>а, Балахны, Дзержинска, Выксы.</w:t>
      </w:r>
    </w:p>
    <w:p w:rsidR="005D2F29" w:rsidRPr="00391C26" w:rsidRDefault="005D2F29" w:rsidP="007149AF">
      <w:pPr>
        <w:ind w:firstLine="540"/>
        <w:jc w:val="both"/>
      </w:pPr>
      <w:r w:rsidRPr="00391C26">
        <w:t>В 2019 году на территории Нижегородской области в рамках реализации регионального проекта «Снижение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 проводились мероприятия по ликвидации свалки промышленных отходов «Черная дыра», шламмонакопителя «Белое море», полигон ТБО «Игумново».</w:t>
      </w:r>
    </w:p>
    <w:p w:rsidR="005D2F29" w:rsidRPr="00391C26" w:rsidRDefault="005D2F29" w:rsidP="007149AF">
      <w:pPr>
        <w:ind w:firstLine="360"/>
        <w:jc w:val="both"/>
      </w:pPr>
      <w:r w:rsidRPr="00391C26">
        <w:t>На свалке промышленных отходов «Черная дыра» смонтировано оборудование по извлечению отходов, обезврежено 10778 тонн отходов. На шламмонакопителе «Белое море» смонтирована установка очистки высоко загрязненных сточных вод, из пруда отстойника от качено 34 421 куб.м. воды. На полигоне ТБО «Игумново» выполнены работы по формированию тела полигона на участке площадью 36,7 га (99,9%), смонтированы</w:t>
      </w:r>
      <w:r w:rsidR="007149AF">
        <w:t xml:space="preserve"> локальные очистные сооружения.</w:t>
      </w:r>
    </w:p>
    <w:p w:rsidR="005D2F29" w:rsidRPr="00391C26" w:rsidRDefault="005D2F29" w:rsidP="005D2F29">
      <w:pPr>
        <w:pStyle w:val="a6"/>
        <w:ind w:firstLine="709"/>
      </w:pPr>
      <w:r w:rsidRPr="00391C26">
        <w:t>На отчетный период в хозяйствах области, находящихся на контроле Управления Роспотребнадзора по Нижегородской области, имеется 45 (в 2018 год - 48) складов для хранения пестицидов и агрохимикатов</w:t>
      </w:r>
      <w:r w:rsidR="007149AF">
        <w:t>, 14 из них не эксплуатируется.</w:t>
      </w:r>
    </w:p>
    <w:p w:rsidR="005D2F29" w:rsidRPr="00391C26" w:rsidRDefault="005D2F29" w:rsidP="005D2F29">
      <w:pPr>
        <w:pStyle w:val="a6"/>
        <w:ind w:firstLine="709"/>
      </w:pPr>
      <w:r w:rsidRPr="00391C26">
        <w:t>Сохраняется тенденция закрытия централизованных складов, всвязи с отсутствием необходимости т.к. большинство хозяйств области приобретает препараты в небольших количествах неп</w:t>
      </w:r>
      <w:r w:rsidR="007149AF">
        <w:t>осредственно перед применением.</w:t>
      </w:r>
    </w:p>
    <w:p w:rsidR="005D2F29" w:rsidRPr="00391C26" w:rsidRDefault="005D2F29" w:rsidP="005D2F29">
      <w:pPr>
        <w:pStyle w:val="a6"/>
        <w:ind w:firstLine="709"/>
      </w:pPr>
      <w:r w:rsidRPr="00391C26">
        <w:t>Состояние эксплуатируемых агрохимических комплексо</w:t>
      </w:r>
      <w:r w:rsidR="007149AF">
        <w:t>в и складов удовлетворительное.</w:t>
      </w:r>
    </w:p>
    <w:p w:rsidR="005D2F29" w:rsidRPr="00391C26" w:rsidRDefault="005D2F29" w:rsidP="005D2F29">
      <w:pPr>
        <w:pStyle w:val="a6"/>
        <w:ind w:firstLine="709"/>
      </w:pPr>
      <w:r w:rsidRPr="00391C26">
        <w:t>По состоянию на 01.01.2020г. в хозяйствах, находящихся на контроле Управления Роспотребнадзора по Нижегородской области, хранилось около 3,5 тонны пестицидов и агрохимикатов, подлежащих утилизации (с истекшим сроком годности, запрещенные к применению, не идентифицированные). На аналогичный период прошлого года утилизации подлежало 10,5 тонн. 7 тонн утилизировано за пределами области.</w:t>
      </w:r>
    </w:p>
    <w:p w:rsidR="005D2F29" w:rsidRPr="00391C26" w:rsidRDefault="005D2F29" w:rsidP="005D2F29">
      <w:pPr>
        <w:pStyle w:val="a6"/>
        <w:ind w:firstLine="709"/>
      </w:pPr>
      <w:r w:rsidRPr="00391C26">
        <w:t xml:space="preserve">Отравлений ядохимикатами и пестицидами в отчетном году не зарегистрировано. </w:t>
      </w:r>
    </w:p>
    <w:p w:rsidR="005D2F29" w:rsidRPr="00391C26" w:rsidRDefault="007149AF" w:rsidP="005D2F29">
      <w:pPr>
        <w:pStyle w:val="a6"/>
        <w:ind w:firstLine="709"/>
      </w:pPr>
      <w:r>
        <w:t xml:space="preserve">За </w:t>
      </w:r>
      <w:r w:rsidR="005D2F29" w:rsidRPr="00391C26">
        <w:t>выявленные нарушения санитарного законодательства, в том ч</w:t>
      </w:r>
      <w:r>
        <w:t xml:space="preserve">исле по обращениям населения, </w:t>
      </w:r>
      <w:r w:rsidR="005D2F29" w:rsidRPr="00391C26">
        <w:t xml:space="preserve">при обращении с отходами в 2019 </w:t>
      </w:r>
      <w:r>
        <w:t xml:space="preserve">году наложен 91 </w:t>
      </w:r>
      <w:r w:rsidR="005D2F29" w:rsidRPr="00391C26">
        <w:t>шт</w:t>
      </w:r>
      <w:r>
        <w:t>раф на сумму 1000,5 тыс.рублей.</w:t>
      </w:r>
    </w:p>
    <w:p w:rsidR="005D2F29" w:rsidRPr="00391C26" w:rsidRDefault="005D2F29" w:rsidP="005D2F29">
      <w:pPr>
        <w:pStyle w:val="Maikl1"/>
        <w:overflowPunct/>
        <w:autoSpaceDE/>
        <w:adjustRightInd/>
        <w:ind w:firstLine="709"/>
      </w:pPr>
      <w:r w:rsidRPr="00391C26">
        <w:t>В 2019г. в Управление Роспотребнадзора по Нижегородской области поступило несколько обращений от жителей различных районов области на гибель пчел пос</w:t>
      </w:r>
      <w:r w:rsidR="007149AF">
        <w:t>ле обработки полей пестицидами.</w:t>
      </w:r>
    </w:p>
    <w:p w:rsidR="005D2F29" w:rsidRPr="00391C26" w:rsidRDefault="005D2F29" w:rsidP="007149AF">
      <w:pPr>
        <w:ind w:firstLine="709"/>
        <w:jc w:val="both"/>
      </w:pPr>
      <w:r w:rsidRPr="00391C26">
        <w:t xml:space="preserve">По результатам проведенных проверок ООО «Агрофирма Нижегородская», ООО «Урожай» было установлено, что обработка полей, расположенных на расстоянии 300-500 м от населенных пунктов, проводилась в мае-июне текущего года наземным транспортом в вечерние, ночные и утренние часы в безветренную погоду препаратами, включенными в «Государственный каталог пестицидов и агрохимикатов» и разрешенными к применению на территории РФ. </w:t>
      </w:r>
    </w:p>
    <w:p w:rsidR="005D2F29" w:rsidRPr="00391C26" w:rsidRDefault="005D2F29" w:rsidP="007149AF">
      <w:pPr>
        <w:ind w:firstLine="708"/>
        <w:jc w:val="both"/>
      </w:pPr>
      <w:r w:rsidRPr="00391C26">
        <w:t xml:space="preserve">О начале обработки население </w:t>
      </w:r>
      <w:r w:rsidR="007149AF">
        <w:t xml:space="preserve">не было своевременно оповещено </w:t>
      </w:r>
      <w:r w:rsidRPr="00391C26">
        <w:t>(не позднее, чем за 3 дня до ее проведения), не были выставлены  щиты на границах обрабатываемых пестицидами площадей с указанием «Обработано пестицидами», содержащими информацию о мерах предосторожности и возможных сроках выхода на обработанную территорию, оповещение владельцев пасек о необходимости исключения вылета пчел проведено также несвоевременно, что является нарушением требований СанПиН 1.2.2584-10 «Гигиенические требования безопасности процессов испытаний, хранения, перевозки, реализации, применения, обезвреживания и утилизации пестицидов и агро</w:t>
      </w:r>
      <w:r w:rsidR="007149AF">
        <w:t>химикатов».</w:t>
      </w:r>
    </w:p>
    <w:p w:rsidR="005D2F29" w:rsidRPr="00391C26" w:rsidRDefault="005D2F29" w:rsidP="007149AF">
      <w:pPr>
        <w:ind w:firstLine="708"/>
        <w:jc w:val="both"/>
      </w:pPr>
      <w:r w:rsidRPr="00391C26">
        <w:lastRenderedPageBreak/>
        <w:t>За выявленны</w:t>
      </w:r>
      <w:r w:rsidR="007149AF">
        <w:t xml:space="preserve">е нарушения на юридических лиц </w:t>
      </w:r>
      <w:r w:rsidRPr="00391C26">
        <w:t xml:space="preserve">ООО «Агрофирма Нижегородская», ООО «Урожай» составлены 2 протокола об </w:t>
      </w:r>
      <w:r w:rsidR="007149AF">
        <w:t>административном правонарушении</w:t>
      </w:r>
      <w:r w:rsidRPr="00391C26">
        <w:t xml:space="preserve"> по ст.6.3 на сумму 25 тыс. рублей, выданы предписания об устранении выявленных нарушений.</w:t>
      </w:r>
    </w:p>
    <w:p w:rsidR="005D2F29" w:rsidRPr="00391C26" w:rsidRDefault="005D2F29" w:rsidP="007149AF">
      <w:pPr>
        <w:ind w:firstLine="708"/>
        <w:jc w:val="both"/>
      </w:pPr>
      <w:r w:rsidRPr="00391C26">
        <w:t>Согласно информации, предоставленной ГБУЗ НО «Шатковская ЦРБ», обращения граждан по поводу жалоб на першение в горле, слез</w:t>
      </w:r>
      <w:r w:rsidR="007149AF">
        <w:t xml:space="preserve">отечение, затрудненное дыхание </w:t>
      </w:r>
      <w:r w:rsidRPr="00391C26">
        <w:t>не регистрировались.</w:t>
      </w:r>
    </w:p>
    <w:p w:rsidR="005D2F29" w:rsidRPr="00C255E8" w:rsidRDefault="005D2F29" w:rsidP="005D2F29">
      <w:pPr>
        <w:ind w:firstLine="708"/>
        <w:rPr>
          <w:sz w:val="16"/>
          <w:szCs w:val="16"/>
        </w:rPr>
      </w:pPr>
    </w:p>
    <w:p w:rsidR="005D2F29" w:rsidRPr="00391C26" w:rsidRDefault="005D2F29" w:rsidP="005D2F29">
      <w:pPr>
        <w:tabs>
          <w:tab w:val="left" w:pos="709"/>
        </w:tabs>
        <w:jc w:val="center"/>
        <w:rPr>
          <w:b/>
        </w:rPr>
      </w:pPr>
      <w:r w:rsidRPr="00391C26">
        <w:rPr>
          <w:b/>
        </w:rPr>
        <w:t>Радиационная обстановка в Нижегородской области.</w:t>
      </w:r>
    </w:p>
    <w:p w:rsidR="005D2F29" w:rsidRPr="00C255E8" w:rsidRDefault="005D2F29" w:rsidP="005D2F29">
      <w:pPr>
        <w:tabs>
          <w:tab w:val="left" w:pos="709"/>
        </w:tabs>
        <w:jc w:val="center"/>
        <w:rPr>
          <w:b/>
          <w:sz w:val="16"/>
          <w:szCs w:val="16"/>
        </w:rPr>
      </w:pPr>
    </w:p>
    <w:p w:rsidR="005D2F29" w:rsidRPr="00391C26" w:rsidRDefault="005D2F29" w:rsidP="00C255E8">
      <w:pPr>
        <w:ind w:firstLine="709"/>
        <w:jc w:val="both"/>
      </w:pPr>
      <w:r w:rsidRPr="00391C26">
        <w:t xml:space="preserve">Под надзором Управления  находится 571 субъект, использующий источники ионизирующего излучения, в том числе 457 медицинских учреждений, 107 промышленных предприятий, </w:t>
      </w:r>
      <w:r w:rsidR="00C255E8">
        <w:t>7 научных и учебных учреждений.</w:t>
      </w:r>
    </w:p>
    <w:p w:rsidR="005D2F29" w:rsidRPr="00391C26" w:rsidRDefault="005D2F29" w:rsidP="00C255E8">
      <w:pPr>
        <w:ind w:firstLine="709"/>
        <w:jc w:val="both"/>
        <w:rPr>
          <w:b/>
          <w:sz w:val="22"/>
          <w:szCs w:val="22"/>
        </w:rPr>
      </w:pPr>
      <w:r w:rsidRPr="00391C26">
        <w:t xml:space="preserve">Средняя годовая эффективная доза на одного жителя Нижегородской области по данным радиационно-гигиенической паспортизации соответствует среднероссийскому показателю и составляет 3,9 мЗв/ год. </w:t>
      </w:r>
    </w:p>
    <w:p w:rsidR="005D2F29" w:rsidRPr="00391C26" w:rsidRDefault="005D2F29" w:rsidP="00C255E8">
      <w:pPr>
        <w:ind w:firstLine="708"/>
        <w:jc w:val="both"/>
      </w:pPr>
      <w:r w:rsidRPr="00391C26">
        <w:t xml:space="preserve">Коллективная годовая эффективная доза облучения населения области за счёт всех источников ионизирующего излучения составляет </w:t>
      </w:r>
      <w:r w:rsidRPr="00391C26">
        <w:rPr>
          <w:bCs/>
        </w:rPr>
        <w:t>11047,57 чел.-Зв / год</w:t>
      </w:r>
      <w:r w:rsidRPr="00391C26">
        <w:t>.</w:t>
      </w:r>
    </w:p>
    <w:p w:rsidR="005D2F29" w:rsidRPr="00391C26" w:rsidRDefault="005D2F29" w:rsidP="00C255E8">
      <w:pPr>
        <w:ind w:firstLine="708"/>
        <w:jc w:val="both"/>
      </w:pPr>
      <w:r w:rsidRPr="00391C26">
        <w:t xml:space="preserve">Структура дозы облучения на 1 жителя области по состоянию на 01.01.2019 года сформирована следующим образом: </w:t>
      </w:r>
      <w:r w:rsidRPr="00391C26">
        <w:rPr>
          <w:bCs/>
        </w:rPr>
        <w:t>88,73%</w:t>
      </w:r>
      <w:r w:rsidRPr="00391C26">
        <w:rPr>
          <w:bCs/>
          <w:sz w:val="23"/>
          <w:szCs w:val="23"/>
        </w:rPr>
        <w:t xml:space="preserve"> </w:t>
      </w:r>
      <w:r w:rsidRPr="00391C26">
        <w:t xml:space="preserve">- от природных источников и </w:t>
      </w:r>
      <w:r w:rsidRPr="00391C26">
        <w:rPr>
          <w:bCs/>
        </w:rPr>
        <w:t>11,11%</w:t>
      </w:r>
      <w:r w:rsidRPr="00391C26">
        <w:rPr>
          <w:bCs/>
          <w:sz w:val="23"/>
          <w:szCs w:val="23"/>
        </w:rPr>
        <w:t xml:space="preserve"> </w:t>
      </w:r>
      <w:r w:rsidRPr="00391C26">
        <w:t xml:space="preserve">% – медицинское облучение, на долю всех остальных источников приходится – </w:t>
      </w:r>
      <w:r w:rsidRPr="00391C26">
        <w:rPr>
          <w:bCs/>
        </w:rPr>
        <w:t>0,16</w:t>
      </w:r>
      <w:r w:rsidRPr="00391C26">
        <w:t>% (структура облучения населения РФ на аналогичный период 2018 года составлял</w:t>
      </w:r>
      <w:r w:rsidR="00C255E8">
        <w:t xml:space="preserve">а 90,12% -природные источники; </w:t>
      </w:r>
      <w:r w:rsidRPr="00391C26">
        <w:t xml:space="preserve">9,75%- медицинское облучение и 0,13% - прочие источники соответственно). </w:t>
      </w:r>
    </w:p>
    <w:p w:rsidR="005D2F29" w:rsidRPr="00C255E8" w:rsidRDefault="005D2F29" w:rsidP="005D2F29">
      <w:pPr>
        <w:ind w:firstLine="708"/>
        <w:rPr>
          <w:sz w:val="16"/>
          <w:szCs w:val="16"/>
        </w:rPr>
      </w:pPr>
    </w:p>
    <w:p w:rsidR="005D2F29" w:rsidRPr="00391C26" w:rsidRDefault="005D2F29" w:rsidP="005D2F29">
      <w:pPr>
        <w:rPr>
          <w:b/>
          <w:bCs/>
          <w:sz w:val="22"/>
          <w:szCs w:val="22"/>
        </w:rPr>
      </w:pPr>
      <w:r>
        <w:rPr>
          <w:noProof/>
        </w:rPr>
        <w:drawing>
          <wp:inline distT="0" distB="0" distL="0" distR="0">
            <wp:extent cx="5768340" cy="2712720"/>
            <wp:effectExtent l="0" t="0" r="0" b="0"/>
            <wp:docPr id="29"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D2F29" w:rsidRPr="00391C26" w:rsidRDefault="005D2F29" w:rsidP="005D2F29">
      <w:pPr>
        <w:pStyle w:val="ab"/>
        <w:spacing w:before="0" w:beforeAutospacing="0" w:after="0" w:afterAutospacing="0"/>
        <w:jc w:val="center"/>
        <w:outlineLvl w:val="0"/>
      </w:pPr>
      <w:r w:rsidRPr="00391C26">
        <w:rPr>
          <w:bCs/>
          <w:sz w:val="22"/>
          <w:szCs w:val="22"/>
        </w:rPr>
        <w:t xml:space="preserve">Рис. № </w:t>
      </w:r>
      <w:r>
        <w:rPr>
          <w:bCs/>
          <w:sz w:val="22"/>
          <w:szCs w:val="22"/>
        </w:rPr>
        <w:t>8</w:t>
      </w:r>
      <w:r w:rsidRPr="00391C26">
        <w:rPr>
          <w:bCs/>
          <w:sz w:val="22"/>
          <w:szCs w:val="22"/>
        </w:rPr>
        <w:t>. Структура коллективных доз облучения населения</w:t>
      </w:r>
      <w:r>
        <w:rPr>
          <w:bCs/>
          <w:sz w:val="22"/>
          <w:szCs w:val="22"/>
        </w:rPr>
        <w:t xml:space="preserve"> </w:t>
      </w:r>
      <w:r w:rsidRPr="00391C26">
        <w:rPr>
          <w:bCs/>
          <w:sz w:val="22"/>
          <w:szCs w:val="22"/>
        </w:rPr>
        <w:t>по Нижегородской области</w:t>
      </w:r>
    </w:p>
    <w:p w:rsidR="005D2F29" w:rsidRPr="00391C26" w:rsidRDefault="005D2F29" w:rsidP="005D2F29">
      <w:pPr>
        <w:pStyle w:val="ab"/>
        <w:spacing w:before="0" w:beforeAutospacing="0" w:after="0" w:afterAutospacing="0"/>
      </w:pPr>
    </w:p>
    <w:p w:rsidR="005D2F29" w:rsidRPr="00391C26" w:rsidRDefault="005D2F29" w:rsidP="00C255E8">
      <w:pPr>
        <w:pStyle w:val="ab"/>
        <w:spacing w:before="0" w:beforeAutospacing="0" w:after="0" w:afterAutospacing="0"/>
        <w:ind w:firstLine="709"/>
        <w:jc w:val="both"/>
      </w:pPr>
      <w:r w:rsidRPr="00391C26">
        <w:t>На территории области эксплуатируется 107 предприятий, использующих техногенные источники ионизирующего излучения. Всего на предприятиях и организациях области, использующих в своей работе источники ионизирующего излучения по состоянию на 1 января 2019 года работало 2951 человек, из них группы «А» - 2825 человек и группы «Б» - 126 человек.</w:t>
      </w:r>
    </w:p>
    <w:p w:rsidR="005D2F29" w:rsidRPr="00391C26" w:rsidRDefault="005D2F29" w:rsidP="00C255E8">
      <w:pPr>
        <w:pStyle w:val="ab"/>
        <w:spacing w:before="0" w:beforeAutospacing="0" w:after="0" w:afterAutospacing="0"/>
        <w:ind w:firstLine="709"/>
        <w:jc w:val="both"/>
      </w:pPr>
      <w:r w:rsidRPr="00391C26">
        <w:t>Охват организаций радиационно-гигиенической па</w:t>
      </w:r>
      <w:r w:rsidR="00C255E8">
        <w:t xml:space="preserve">спортизацией составляет 97,4%, </w:t>
      </w:r>
      <w:r w:rsidRPr="00391C26">
        <w:t>столько же представляют данные в системе ЕСКИД по форме 1-ДОЗ.</w:t>
      </w:r>
    </w:p>
    <w:p w:rsidR="005D2F29" w:rsidRPr="00391C26" w:rsidRDefault="005D2F29" w:rsidP="00C255E8">
      <w:pPr>
        <w:pStyle w:val="ab"/>
        <w:spacing w:before="0" w:beforeAutospacing="0" w:after="0" w:afterAutospacing="0"/>
        <w:ind w:firstLine="708"/>
        <w:jc w:val="both"/>
      </w:pPr>
      <w:r w:rsidRPr="00391C26">
        <w:t xml:space="preserve">На территории Нижегородской области располагаются три объекта 1 и 2 категории потенциальной радиационной опасности, контролируемых ФМБА РФ. </w:t>
      </w:r>
    </w:p>
    <w:p w:rsidR="005D2F29" w:rsidRPr="00391C26" w:rsidRDefault="005D2F29" w:rsidP="00C255E8">
      <w:pPr>
        <w:pStyle w:val="ab"/>
        <w:spacing w:before="0" w:beforeAutospacing="0" w:after="0" w:afterAutospacing="0"/>
        <w:ind w:firstLine="708"/>
        <w:jc w:val="both"/>
      </w:pPr>
    </w:p>
    <w:p w:rsidR="005D2F29" w:rsidRPr="00391C26" w:rsidRDefault="005D2F29" w:rsidP="005D2F29">
      <w:pPr>
        <w:pStyle w:val="ab"/>
        <w:spacing w:before="0" w:beforeAutospacing="0" w:after="0"/>
        <w:jc w:val="center"/>
        <w:outlineLvl w:val="0"/>
        <w:rPr>
          <w:b/>
          <w:bCs/>
        </w:rPr>
      </w:pPr>
      <w:r w:rsidRPr="00391C26">
        <w:rPr>
          <w:b/>
          <w:bCs/>
        </w:rPr>
        <w:lastRenderedPageBreak/>
        <w:t>Характеристика содержания радионуклидов в почве в динамике за 3 года.</w:t>
      </w:r>
    </w:p>
    <w:p w:rsidR="005D2F29" w:rsidRPr="00391C26" w:rsidRDefault="005D2F29" w:rsidP="00C255E8">
      <w:pPr>
        <w:pStyle w:val="ab"/>
        <w:spacing w:before="0" w:beforeAutospacing="0" w:after="0" w:afterAutospacing="0"/>
        <w:ind w:firstLine="708"/>
        <w:jc w:val="both"/>
        <w:outlineLvl w:val="0"/>
        <w:rPr>
          <w:b/>
          <w:bCs/>
        </w:rPr>
      </w:pPr>
      <w:r w:rsidRPr="00391C26">
        <w:t>Ведущим фактором облучения населения Нижегородской области являются природные источники, их вклад в среднем составляет 88,73% от коллективной дозы облучения. По данным  радиационно – гигиенической паспортизации средняя индивидуальная годовая эффективная доза природного облучения в расчете на 1 жителя Российской Федерации составляет 3,34 мЗв/год. Средние и максимальные уровни плотности загрязнения почвы цезием-137 представлены в табл. 1</w:t>
      </w:r>
      <w:r>
        <w:t>8</w:t>
      </w:r>
      <w:r w:rsidRPr="00391C26">
        <w:t xml:space="preserve"> и рис. </w:t>
      </w:r>
      <w:r>
        <w:t>9.</w:t>
      </w:r>
      <w:r w:rsidRPr="00391C26">
        <w:t xml:space="preserve"> </w:t>
      </w:r>
    </w:p>
    <w:p w:rsidR="005D2F29" w:rsidRPr="00391C26" w:rsidRDefault="005D2F29" w:rsidP="00C255E8">
      <w:pPr>
        <w:pStyle w:val="ab"/>
        <w:spacing w:before="0" w:beforeAutospacing="0" w:after="0" w:afterAutospacing="0"/>
        <w:jc w:val="right"/>
        <w:outlineLvl w:val="0"/>
        <w:rPr>
          <w:bCs/>
          <w:sz w:val="22"/>
          <w:szCs w:val="22"/>
        </w:rPr>
      </w:pPr>
      <w:r w:rsidRPr="00391C26">
        <w:rPr>
          <w:bCs/>
          <w:sz w:val="22"/>
          <w:szCs w:val="22"/>
        </w:rPr>
        <w:t>Таблица № 1</w:t>
      </w:r>
      <w:r>
        <w:rPr>
          <w:bCs/>
          <w:sz w:val="22"/>
          <w:szCs w:val="22"/>
        </w:rPr>
        <w:t>8</w:t>
      </w:r>
      <w:r w:rsidRPr="00391C26">
        <w:rPr>
          <w:bCs/>
          <w:sz w:val="22"/>
          <w:szCs w:val="22"/>
        </w:rPr>
        <w:t>.</w:t>
      </w:r>
    </w:p>
    <w:p w:rsidR="005D2F29" w:rsidRDefault="005D2F29" w:rsidP="00C255E8">
      <w:pPr>
        <w:pStyle w:val="ab"/>
        <w:spacing w:before="0" w:beforeAutospacing="0" w:after="0" w:afterAutospacing="0"/>
        <w:jc w:val="center"/>
        <w:outlineLvl w:val="0"/>
        <w:rPr>
          <w:b/>
          <w:sz w:val="22"/>
          <w:szCs w:val="22"/>
        </w:rPr>
      </w:pPr>
      <w:r w:rsidRPr="00241D5C">
        <w:rPr>
          <w:b/>
          <w:sz w:val="22"/>
          <w:szCs w:val="22"/>
        </w:rPr>
        <w:t xml:space="preserve">Содержание </w:t>
      </w:r>
      <w:r w:rsidRPr="00241D5C">
        <w:rPr>
          <w:b/>
          <w:sz w:val="22"/>
          <w:szCs w:val="22"/>
          <w:lang w:val="en-US"/>
        </w:rPr>
        <w:t>Cs</w:t>
      </w:r>
      <w:r w:rsidRPr="00241D5C">
        <w:rPr>
          <w:b/>
          <w:sz w:val="22"/>
          <w:szCs w:val="22"/>
          <w:vertAlign w:val="superscript"/>
        </w:rPr>
        <w:t xml:space="preserve">137 </w:t>
      </w:r>
      <w:r w:rsidRPr="00241D5C">
        <w:rPr>
          <w:b/>
          <w:sz w:val="22"/>
          <w:szCs w:val="22"/>
        </w:rPr>
        <w:t>в исследуемых образцах</w:t>
      </w:r>
    </w:p>
    <w:p w:rsidR="005D2F29" w:rsidRPr="00241D5C" w:rsidRDefault="005D2F29" w:rsidP="00C255E8">
      <w:pPr>
        <w:pStyle w:val="ab"/>
        <w:spacing w:before="0" w:beforeAutospacing="0" w:after="0" w:afterAutospacing="0"/>
        <w:jc w:val="center"/>
        <w:outlineLvl w:val="0"/>
        <w:rPr>
          <w:b/>
          <w:sz w:val="22"/>
          <w:szCs w:val="22"/>
        </w:rPr>
      </w:pPr>
    </w:p>
    <w:tbl>
      <w:tblPr>
        <w:tblW w:w="90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1985"/>
        <w:gridCol w:w="1984"/>
        <w:gridCol w:w="1560"/>
        <w:gridCol w:w="1842"/>
        <w:gridCol w:w="1678"/>
      </w:tblGrid>
      <w:tr w:rsidR="005D2F29" w:rsidRPr="00391C26" w:rsidTr="00C255E8">
        <w:trPr>
          <w:trHeight w:val="139"/>
        </w:trPr>
        <w:tc>
          <w:tcPr>
            <w:tcW w:w="3969" w:type="dxa"/>
            <w:gridSpan w:val="2"/>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jc w:val="center"/>
              <w:rPr>
                <w:sz w:val="22"/>
                <w:szCs w:val="22"/>
                <w:lang w:eastAsia="en-US"/>
              </w:rPr>
            </w:pPr>
            <w:r w:rsidRPr="00391C26">
              <w:rPr>
                <w:sz w:val="22"/>
                <w:szCs w:val="22"/>
                <w:lang w:eastAsia="en-US"/>
              </w:rPr>
              <w:t>Год</w:t>
            </w:r>
          </w:p>
        </w:tc>
        <w:tc>
          <w:tcPr>
            <w:tcW w:w="1560"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jc w:val="center"/>
              <w:rPr>
                <w:sz w:val="22"/>
                <w:szCs w:val="22"/>
                <w:lang w:eastAsia="en-US"/>
              </w:rPr>
            </w:pPr>
            <w:r w:rsidRPr="00391C26">
              <w:rPr>
                <w:sz w:val="22"/>
                <w:szCs w:val="22"/>
                <w:lang w:eastAsia="en-US"/>
              </w:rPr>
              <w:t>2017</w:t>
            </w:r>
          </w:p>
        </w:tc>
        <w:tc>
          <w:tcPr>
            <w:tcW w:w="1842"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jc w:val="center"/>
              <w:rPr>
                <w:sz w:val="22"/>
                <w:szCs w:val="22"/>
                <w:lang w:eastAsia="en-US"/>
              </w:rPr>
            </w:pPr>
            <w:r w:rsidRPr="00391C26">
              <w:rPr>
                <w:sz w:val="22"/>
                <w:szCs w:val="22"/>
                <w:lang w:eastAsia="en-US"/>
              </w:rPr>
              <w:t>2018</w:t>
            </w:r>
          </w:p>
        </w:tc>
        <w:tc>
          <w:tcPr>
            <w:tcW w:w="1678"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jc w:val="center"/>
              <w:rPr>
                <w:sz w:val="22"/>
                <w:szCs w:val="22"/>
                <w:lang w:eastAsia="en-US"/>
              </w:rPr>
            </w:pPr>
            <w:r w:rsidRPr="00391C26">
              <w:rPr>
                <w:sz w:val="22"/>
                <w:szCs w:val="22"/>
                <w:lang w:eastAsia="en-US"/>
              </w:rPr>
              <w:t>2019</w:t>
            </w:r>
          </w:p>
        </w:tc>
      </w:tr>
      <w:tr w:rsidR="005D2F29" w:rsidRPr="00391C26" w:rsidTr="00C255E8">
        <w:trPr>
          <w:trHeight w:val="156"/>
        </w:trPr>
        <w:tc>
          <w:tcPr>
            <w:tcW w:w="3969" w:type="dxa"/>
            <w:gridSpan w:val="2"/>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Количество проб</w:t>
            </w:r>
          </w:p>
        </w:tc>
        <w:tc>
          <w:tcPr>
            <w:tcW w:w="1560"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214</w:t>
            </w:r>
          </w:p>
        </w:tc>
        <w:tc>
          <w:tcPr>
            <w:tcW w:w="1842"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219</w:t>
            </w:r>
          </w:p>
        </w:tc>
        <w:tc>
          <w:tcPr>
            <w:tcW w:w="1678"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189</w:t>
            </w:r>
          </w:p>
        </w:tc>
      </w:tr>
      <w:tr w:rsidR="005D2F29" w:rsidRPr="00391C26" w:rsidTr="00C255E8">
        <w:trPr>
          <w:trHeight w:val="161"/>
        </w:trPr>
        <w:tc>
          <w:tcPr>
            <w:tcW w:w="1985" w:type="dxa"/>
            <w:vMerge w:val="restart"/>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vertAlign w:val="superscript"/>
                <w:lang w:eastAsia="en-US"/>
              </w:rPr>
            </w:pPr>
            <w:r w:rsidRPr="00391C26">
              <w:rPr>
                <w:sz w:val="22"/>
                <w:szCs w:val="22"/>
                <w:lang w:eastAsia="en-US"/>
              </w:rPr>
              <w:t>Плотность загрязнения почвы, кБк/м</w:t>
            </w:r>
            <w:r w:rsidRPr="00391C26">
              <w:rPr>
                <w:sz w:val="22"/>
                <w:szCs w:val="22"/>
                <w:vertAlign w:val="superscript"/>
                <w:lang w:eastAsia="en-US"/>
              </w:rPr>
              <w:t>2</w:t>
            </w:r>
          </w:p>
        </w:tc>
        <w:tc>
          <w:tcPr>
            <w:tcW w:w="1984"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среднее значение</w:t>
            </w:r>
          </w:p>
        </w:tc>
        <w:tc>
          <w:tcPr>
            <w:tcW w:w="1560"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0,40</w:t>
            </w:r>
          </w:p>
        </w:tc>
        <w:tc>
          <w:tcPr>
            <w:tcW w:w="1842"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0,48</w:t>
            </w:r>
          </w:p>
        </w:tc>
        <w:tc>
          <w:tcPr>
            <w:tcW w:w="1678"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0,44</w:t>
            </w:r>
          </w:p>
        </w:tc>
      </w:tr>
      <w:tr w:rsidR="005D2F29" w:rsidRPr="00391C26" w:rsidTr="00C255E8">
        <w:trPr>
          <w:trHeight w:val="320"/>
        </w:trPr>
        <w:tc>
          <w:tcPr>
            <w:tcW w:w="0" w:type="auto"/>
            <w:vMerge/>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rPr>
                <w:sz w:val="22"/>
                <w:szCs w:val="22"/>
                <w:vertAlign w:val="superscript"/>
                <w:lang w:eastAsia="en-US"/>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максимальное значение</w:t>
            </w:r>
          </w:p>
        </w:tc>
        <w:tc>
          <w:tcPr>
            <w:tcW w:w="1560"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0,64</w:t>
            </w:r>
          </w:p>
        </w:tc>
        <w:tc>
          <w:tcPr>
            <w:tcW w:w="1842"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0,67</w:t>
            </w:r>
          </w:p>
        </w:tc>
        <w:tc>
          <w:tcPr>
            <w:tcW w:w="1678" w:type="dxa"/>
            <w:tcBorders>
              <w:top w:val="single" w:sz="6" w:space="0" w:color="000000"/>
              <w:left w:val="single" w:sz="6" w:space="0" w:color="000000"/>
              <w:bottom w:val="single" w:sz="6" w:space="0" w:color="000000"/>
              <w:right w:val="single" w:sz="6" w:space="0" w:color="000000"/>
            </w:tcBorders>
            <w:vAlign w:val="center"/>
          </w:tcPr>
          <w:p w:rsidR="005D2F29" w:rsidRPr="00391C26" w:rsidRDefault="005D2F29" w:rsidP="00C255E8">
            <w:pPr>
              <w:pStyle w:val="ab"/>
              <w:spacing w:before="0" w:beforeAutospacing="0" w:after="0" w:afterAutospacing="0"/>
              <w:jc w:val="center"/>
              <w:rPr>
                <w:sz w:val="22"/>
                <w:szCs w:val="22"/>
                <w:lang w:eastAsia="en-US"/>
              </w:rPr>
            </w:pPr>
            <w:r w:rsidRPr="00391C26">
              <w:rPr>
                <w:sz w:val="22"/>
                <w:szCs w:val="22"/>
                <w:lang w:eastAsia="en-US"/>
              </w:rPr>
              <w:t>0,61</w:t>
            </w:r>
          </w:p>
        </w:tc>
      </w:tr>
    </w:tbl>
    <w:p w:rsidR="005D2F29" w:rsidRPr="00391C26" w:rsidRDefault="005D2F29" w:rsidP="00C255E8">
      <w:pPr>
        <w:bidi/>
        <w:jc w:val="right"/>
        <w:rPr>
          <w:b/>
          <w:bCs/>
          <w:sz w:val="22"/>
          <w:szCs w:val="22"/>
        </w:rPr>
      </w:pPr>
      <w:r>
        <w:rPr>
          <w:noProof/>
        </w:rPr>
        <w:drawing>
          <wp:anchor distT="0" distB="0" distL="114300" distR="114300" simplePos="0" relativeHeight="251660288" behindDoc="0" locked="0" layoutInCell="1" allowOverlap="1">
            <wp:simplePos x="0" y="0"/>
            <wp:positionH relativeFrom="column">
              <wp:posOffset>-100330</wp:posOffset>
            </wp:positionH>
            <wp:positionV relativeFrom="paragraph">
              <wp:posOffset>237490</wp:posOffset>
            </wp:positionV>
            <wp:extent cx="5745480" cy="2717165"/>
            <wp:effectExtent l="0" t="0" r="0" b="0"/>
            <wp:wrapSquare wrapText="bothSides"/>
            <wp:docPr id="37"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5D2F29" w:rsidRPr="00391C26" w:rsidRDefault="005D2F29" w:rsidP="005D2F29">
      <w:pPr>
        <w:pStyle w:val="ab"/>
        <w:spacing w:before="0" w:beforeAutospacing="0" w:after="0" w:afterAutospacing="0"/>
        <w:jc w:val="center"/>
        <w:outlineLvl w:val="0"/>
        <w:rPr>
          <w:bCs/>
          <w:sz w:val="22"/>
          <w:szCs w:val="22"/>
        </w:rPr>
      </w:pPr>
      <w:r w:rsidRPr="00391C26">
        <w:rPr>
          <w:bCs/>
          <w:sz w:val="22"/>
          <w:szCs w:val="22"/>
        </w:rPr>
        <w:t xml:space="preserve">Рис. № </w:t>
      </w:r>
      <w:r>
        <w:rPr>
          <w:bCs/>
          <w:sz w:val="22"/>
          <w:szCs w:val="22"/>
        </w:rPr>
        <w:t>9</w:t>
      </w:r>
      <w:r w:rsidRPr="00391C26">
        <w:rPr>
          <w:bCs/>
          <w:sz w:val="22"/>
          <w:szCs w:val="22"/>
        </w:rPr>
        <w:t>. Уровни радиоактивного загрязнения почвы кБк/м</w:t>
      </w:r>
      <w:r w:rsidRPr="00391C26">
        <w:rPr>
          <w:bCs/>
          <w:sz w:val="22"/>
          <w:szCs w:val="22"/>
          <w:vertAlign w:val="superscript"/>
        </w:rPr>
        <w:t>2</w:t>
      </w:r>
      <w:r>
        <w:rPr>
          <w:bCs/>
          <w:sz w:val="22"/>
          <w:szCs w:val="22"/>
          <w:vertAlign w:val="superscript"/>
        </w:rPr>
        <w:t xml:space="preserve"> </w:t>
      </w:r>
      <w:r w:rsidRPr="00391C26">
        <w:rPr>
          <w:bCs/>
          <w:sz w:val="22"/>
          <w:szCs w:val="22"/>
        </w:rPr>
        <w:t>по Нижегородской области.</w:t>
      </w:r>
    </w:p>
    <w:p w:rsidR="005D2F29" w:rsidRPr="00391C26" w:rsidRDefault="005D2F29" w:rsidP="005D2F29">
      <w:pPr>
        <w:pStyle w:val="ab"/>
        <w:spacing w:before="0" w:beforeAutospacing="0" w:after="0" w:afterAutospacing="0"/>
      </w:pPr>
    </w:p>
    <w:p w:rsidR="005D2F29" w:rsidRPr="00391C26" w:rsidRDefault="005D2F29" w:rsidP="00C255E8">
      <w:pPr>
        <w:pStyle w:val="ab"/>
        <w:spacing w:before="0" w:beforeAutospacing="0" w:after="0" w:afterAutospacing="0"/>
        <w:ind w:firstLine="708"/>
        <w:jc w:val="both"/>
      </w:pPr>
      <w:r w:rsidRPr="00391C26">
        <w:t>Радиационного загрязнения почвы и радиационных аномалий на территории Нижегородской области не выявлено.</w:t>
      </w:r>
    </w:p>
    <w:p w:rsidR="005D2F29" w:rsidRPr="00391C26" w:rsidRDefault="005D2F29" w:rsidP="005D2F29">
      <w:pPr>
        <w:pStyle w:val="ab"/>
        <w:spacing w:before="0" w:beforeAutospacing="0" w:after="0" w:afterAutospacing="0"/>
        <w:ind w:firstLine="708"/>
      </w:pPr>
    </w:p>
    <w:p w:rsidR="005D2F29" w:rsidRPr="00391C26" w:rsidRDefault="005D2F29" w:rsidP="005D2F29">
      <w:pPr>
        <w:pStyle w:val="ab"/>
        <w:spacing w:before="0" w:beforeAutospacing="0" w:after="0" w:afterAutospacing="0"/>
        <w:jc w:val="center"/>
        <w:rPr>
          <w:b/>
          <w:bCs/>
        </w:rPr>
      </w:pPr>
      <w:r w:rsidRPr="00391C26">
        <w:rPr>
          <w:b/>
          <w:bCs/>
        </w:rPr>
        <w:t>Атмосферный воздух</w:t>
      </w:r>
    </w:p>
    <w:p w:rsidR="005D2F29" w:rsidRPr="00C255E8" w:rsidRDefault="005D2F29" w:rsidP="005D2F29">
      <w:pPr>
        <w:pStyle w:val="ab"/>
        <w:spacing w:before="0" w:beforeAutospacing="0" w:after="0" w:afterAutospacing="0"/>
        <w:jc w:val="center"/>
        <w:rPr>
          <w:b/>
          <w:bCs/>
          <w:sz w:val="16"/>
          <w:szCs w:val="16"/>
        </w:rPr>
      </w:pPr>
    </w:p>
    <w:p w:rsidR="005D2F29" w:rsidRPr="00391C26" w:rsidRDefault="005D2F29" w:rsidP="00C255E8">
      <w:pPr>
        <w:ind w:firstLine="709"/>
        <w:jc w:val="both"/>
      </w:pPr>
      <w:r w:rsidRPr="00391C26">
        <w:t>Данные ежесуточных исследований атмосферного воздуха по суммарной бета-активности, проводимых Росгидрометом за трехлетний период с 2017 по 2019 годы, не превышают допустимые среднегодовые объемные значения активности радионуклидов для населения. Число исследованных проб – 365; со средним значением суммарной бета-активности -10,6 х 10</w:t>
      </w:r>
      <w:r w:rsidRPr="00391C26">
        <w:rPr>
          <w:vertAlign w:val="superscript"/>
        </w:rPr>
        <w:t>-5</w:t>
      </w:r>
      <w:r w:rsidRPr="00391C26">
        <w:t xml:space="preserve">  Бк/м </w:t>
      </w:r>
      <w:r w:rsidRPr="00391C26">
        <w:rPr>
          <w:vertAlign w:val="superscript"/>
        </w:rPr>
        <w:t xml:space="preserve">3 </w:t>
      </w:r>
      <w:r w:rsidRPr="00391C26">
        <w:t>.</w:t>
      </w:r>
    </w:p>
    <w:p w:rsidR="005D2F29" w:rsidRPr="00C255E8" w:rsidRDefault="005D2F29" w:rsidP="005D2F29">
      <w:pPr>
        <w:jc w:val="center"/>
        <w:rPr>
          <w:b/>
          <w:bCs/>
          <w:spacing w:val="-1"/>
          <w:sz w:val="16"/>
          <w:szCs w:val="16"/>
        </w:rPr>
      </w:pPr>
    </w:p>
    <w:p w:rsidR="005D2F29" w:rsidRPr="00391C26" w:rsidRDefault="005D2F29" w:rsidP="005D2F29">
      <w:pPr>
        <w:jc w:val="center"/>
        <w:rPr>
          <w:b/>
          <w:bCs/>
        </w:rPr>
      </w:pPr>
      <w:r w:rsidRPr="00391C26">
        <w:rPr>
          <w:b/>
          <w:bCs/>
          <w:spacing w:val="-1"/>
        </w:rPr>
        <w:t>Состояние водных объектов и</w:t>
      </w:r>
      <w:r w:rsidRPr="00391C26">
        <w:rPr>
          <w:b/>
          <w:bCs/>
        </w:rPr>
        <w:t xml:space="preserve"> питьевого водоснабжения.</w:t>
      </w:r>
    </w:p>
    <w:p w:rsidR="005D2F29" w:rsidRPr="00C255E8" w:rsidRDefault="005D2F29" w:rsidP="005D2F29">
      <w:pPr>
        <w:jc w:val="center"/>
        <w:rPr>
          <w:b/>
          <w:bCs/>
          <w:sz w:val="16"/>
          <w:szCs w:val="16"/>
        </w:rPr>
      </w:pPr>
    </w:p>
    <w:p w:rsidR="005D2F29" w:rsidRPr="00391C26" w:rsidRDefault="005D2F29" w:rsidP="00C255E8">
      <w:pPr>
        <w:ind w:firstLine="709"/>
        <w:jc w:val="both"/>
      </w:pPr>
      <w:r w:rsidRPr="00391C26">
        <w:t xml:space="preserve">Проведенные исследования воды из водных объектов водопользования населения проводились в основном по показателю суммарной альфа-, бета-активности, и указывают на спокойную обстановку по содержанию радионуклидов в открытых водоемах, которые являются источниками питьевого водоснабжения. </w:t>
      </w:r>
    </w:p>
    <w:p w:rsidR="005D2F29" w:rsidRPr="00391C26" w:rsidRDefault="005D2F29" w:rsidP="005D2F29"/>
    <w:p w:rsidR="005D2F29" w:rsidRPr="00391C26" w:rsidRDefault="005D2F29" w:rsidP="005D2F29">
      <w:pPr>
        <w:jc w:val="center"/>
        <w:rPr>
          <w:b/>
          <w:bCs/>
          <w:sz w:val="22"/>
          <w:szCs w:val="22"/>
        </w:rPr>
      </w:pPr>
      <w:r>
        <w:rPr>
          <w:b/>
          <w:noProof/>
        </w:rPr>
        <w:lastRenderedPageBreak/>
        <w:drawing>
          <wp:inline distT="0" distB="0" distL="0" distR="0">
            <wp:extent cx="5814060" cy="2567940"/>
            <wp:effectExtent l="19050" t="0" r="15240" b="3810"/>
            <wp:docPr id="9" name="Объект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D2F29" w:rsidRPr="00391C26" w:rsidRDefault="005D2F29" w:rsidP="005D2F29">
      <w:pPr>
        <w:jc w:val="center"/>
        <w:rPr>
          <w:bCs/>
          <w:sz w:val="22"/>
          <w:szCs w:val="22"/>
        </w:rPr>
      </w:pPr>
      <w:r w:rsidRPr="00391C26">
        <w:rPr>
          <w:bCs/>
          <w:sz w:val="22"/>
          <w:szCs w:val="22"/>
        </w:rPr>
        <w:t xml:space="preserve">Рис. № </w:t>
      </w:r>
      <w:r>
        <w:rPr>
          <w:bCs/>
          <w:sz w:val="22"/>
          <w:szCs w:val="22"/>
        </w:rPr>
        <w:t>10</w:t>
      </w:r>
      <w:r w:rsidRPr="00391C26">
        <w:rPr>
          <w:bCs/>
          <w:sz w:val="22"/>
          <w:szCs w:val="22"/>
        </w:rPr>
        <w:t xml:space="preserve">. Доля исследованных проб воды питьевого водоснабжения </w:t>
      </w:r>
    </w:p>
    <w:p w:rsidR="005D2F29" w:rsidRPr="00391C26" w:rsidRDefault="005D2F29" w:rsidP="005D2F29">
      <w:pPr>
        <w:jc w:val="center"/>
        <w:rPr>
          <w:bCs/>
          <w:sz w:val="22"/>
          <w:szCs w:val="22"/>
        </w:rPr>
      </w:pPr>
      <w:r w:rsidRPr="00391C26">
        <w:rPr>
          <w:bCs/>
          <w:sz w:val="22"/>
          <w:szCs w:val="22"/>
        </w:rPr>
        <w:t xml:space="preserve">по суммарной альфа- и </w:t>
      </w:r>
      <w:r w:rsidRPr="00391C26">
        <w:rPr>
          <w:sz w:val="22"/>
          <w:szCs w:val="22"/>
        </w:rPr>
        <w:t>бета-активности</w:t>
      </w:r>
      <w:r w:rsidRPr="00391C26">
        <w:rPr>
          <w:bCs/>
          <w:sz w:val="22"/>
          <w:szCs w:val="22"/>
        </w:rPr>
        <w:t xml:space="preserve"> в динамике за 3 года.</w:t>
      </w:r>
    </w:p>
    <w:p w:rsidR="005D2F29" w:rsidRPr="00391C26" w:rsidRDefault="005D2F29" w:rsidP="005D2F29">
      <w:pPr>
        <w:jc w:val="center"/>
        <w:rPr>
          <w:b/>
          <w:bCs/>
        </w:rPr>
      </w:pPr>
    </w:p>
    <w:p w:rsidR="005D2F29" w:rsidRPr="00391C26" w:rsidRDefault="005D2F29" w:rsidP="005D2F29">
      <w:pPr>
        <w:jc w:val="center"/>
        <w:rPr>
          <w:b/>
          <w:bCs/>
          <w:sz w:val="22"/>
          <w:szCs w:val="22"/>
        </w:rPr>
      </w:pPr>
      <w:r>
        <w:rPr>
          <w:noProof/>
          <w:bdr w:val="single" w:sz="4" w:space="0" w:color="000000"/>
        </w:rPr>
        <w:drawing>
          <wp:inline distT="0" distB="0" distL="0" distR="0">
            <wp:extent cx="5684520" cy="2506980"/>
            <wp:effectExtent l="19050" t="0" r="11430" b="7620"/>
            <wp:docPr id="10" name="Объект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D2F29" w:rsidRPr="00391C26" w:rsidRDefault="005D2F29" w:rsidP="005D2F29">
      <w:pPr>
        <w:jc w:val="center"/>
        <w:rPr>
          <w:b/>
          <w:bCs/>
          <w:sz w:val="22"/>
          <w:szCs w:val="22"/>
        </w:rPr>
      </w:pPr>
    </w:p>
    <w:p w:rsidR="005D2F29" w:rsidRPr="00391C26" w:rsidRDefault="005D2F29" w:rsidP="005D2F29">
      <w:pPr>
        <w:jc w:val="center"/>
        <w:rPr>
          <w:spacing w:val="-1"/>
          <w:sz w:val="22"/>
          <w:szCs w:val="22"/>
        </w:rPr>
      </w:pPr>
      <w:r w:rsidRPr="00391C26">
        <w:rPr>
          <w:bCs/>
          <w:sz w:val="22"/>
          <w:szCs w:val="22"/>
        </w:rPr>
        <w:t xml:space="preserve">Рис. № </w:t>
      </w:r>
      <w:r>
        <w:rPr>
          <w:bCs/>
          <w:sz w:val="22"/>
          <w:szCs w:val="22"/>
        </w:rPr>
        <w:t>11</w:t>
      </w:r>
      <w:r w:rsidRPr="00391C26">
        <w:rPr>
          <w:bCs/>
          <w:sz w:val="22"/>
          <w:szCs w:val="22"/>
        </w:rPr>
        <w:t xml:space="preserve">. </w:t>
      </w:r>
      <w:r w:rsidRPr="00391C26">
        <w:rPr>
          <w:spacing w:val="-1"/>
          <w:sz w:val="22"/>
          <w:szCs w:val="22"/>
        </w:rPr>
        <w:t xml:space="preserve">Доля источников централизованного водоснабжения, исследованных </w:t>
      </w:r>
    </w:p>
    <w:p w:rsidR="005D2F29" w:rsidRPr="00391C26" w:rsidRDefault="005D2F29" w:rsidP="005D2F29">
      <w:pPr>
        <w:jc w:val="center"/>
        <w:rPr>
          <w:sz w:val="22"/>
          <w:szCs w:val="22"/>
        </w:rPr>
      </w:pPr>
      <w:r w:rsidRPr="00391C26">
        <w:rPr>
          <w:spacing w:val="-1"/>
          <w:sz w:val="22"/>
          <w:szCs w:val="22"/>
        </w:rPr>
        <w:t xml:space="preserve">на </w:t>
      </w:r>
      <w:r w:rsidRPr="00391C26">
        <w:rPr>
          <w:sz w:val="22"/>
          <w:szCs w:val="22"/>
        </w:rPr>
        <w:t>содержание природных радионуклидов.</w:t>
      </w:r>
    </w:p>
    <w:p w:rsidR="005D2F29" w:rsidRPr="00391C26" w:rsidRDefault="005D2F29" w:rsidP="005D2F29">
      <w:pPr>
        <w:rPr>
          <w:b/>
          <w:spacing w:val="-2"/>
          <w:sz w:val="22"/>
          <w:szCs w:val="22"/>
        </w:rPr>
      </w:pPr>
    </w:p>
    <w:p w:rsidR="005D2F29" w:rsidRPr="00391C26" w:rsidRDefault="005D2F29" w:rsidP="00C255E8">
      <w:pPr>
        <w:ind w:firstLine="709"/>
        <w:jc w:val="both"/>
      </w:pPr>
      <w:r w:rsidRPr="00391C26">
        <w:t>Исследования удельной активности радиоактивных веществ в воде источников питьевого водоснабжения так же проводились в основном по определению альфа-, бета-активности. Исследований воды на техногенные радионуклиды за отчетный период не проводилось. Исследовано 692 проб воды на суммарную альфа, бета-активность, превышений не выявлено.</w:t>
      </w:r>
    </w:p>
    <w:p w:rsidR="005D2F29" w:rsidRPr="00391C26" w:rsidRDefault="005D2F29" w:rsidP="005D2F29">
      <w:pPr>
        <w:pStyle w:val="ab"/>
        <w:spacing w:before="0" w:beforeAutospacing="0" w:after="0" w:afterAutospacing="0"/>
        <w:ind w:firstLine="709"/>
      </w:pPr>
    </w:p>
    <w:p w:rsidR="005D2F29" w:rsidRPr="00391C26" w:rsidRDefault="005D2F29" w:rsidP="005D2F29">
      <w:pPr>
        <w:shd w:val="clear" w:color="auto" w:fill="FFFFFF"/>
        <w:jc w:val="center"/>
        <w:rPr>
          <w:b/>
          <w:bCs/>
        </w:rPr>
      </w:pPr>
      <w:r w:rsidRPr="00391C26">
        <w:rPr>
          <w:b/>
          <w:bCs/>
        </w:rPr>
        <w:t>Облучение от природных источников ионизирующего излучения.</w:t>
      </w:r>
    </w:p>
    <w:p w:rsidR="005D2F29" w:rsidRPr="00391C26" w:rsidRDefault="005D2F29" w:rsidP="005D2F29">
      <w:pPr>
        <w:shd w:val="clear" w:color="auto" w:fill="FFFFFF"/>
        <w:ind w:firstLine="709"/>
        <w:jc w:val="center"/>
        <w:rPr>
          <w:b/>
          <w:bCs/>
        </w:rPr>
      </w:pPr>
    </w:p>
    <w:p w:rsidR="005D2F29" w:rsidRPr="00391C26" w:rsidRDefault="005D2F29" w:rsidP="00C255E8">
      <w:pPr>
        <w:shd w:val="clear" w:color="auto" w:fill="FFFFFF"/>
        <w:ind w:firstLine="709"/>
        <w:jc w:val="both"/>
      </w:pPr>
      <w:r w:rsidRPr="00391C26">
        <w:t>Основной вклад в годовую эффективную дозу облучения населения Нижегородской области по-прежнему вносит природное облучение. Средняя индивидуальная годовая эффективная доза облучения на одного жителя Нижегородской област</w:t>
      </w:r>
      <w:r w:rsidR="00C255E8">
        <w:t xml:space="preserve">и за счёт природных источников облучения </w:t>
      </w:r>
      <w:r w:rsidRPr="00391C26">
        <w:t>по состоянию на 01.01.2019 года по данным радиационно-гигиенической паспортизации составила 3,008</w:t>
      </w:r>
      <w:r w:rsidR="00C255E8">
        <w:t xml:space="preserve"> мЗв/год, при среднероссийском </w:t>
      </w:r>
      <w:r w:rsidRPr="00391C26">
        <w:t>за этот же период - 3,30 мЗв/год. Радиационный фон на территории Нижегородской области спокойный и находится в пределах от 0,09 до 0,15 мкЗв/час. Среднее значение – 0,11 мкЗв/ч.</w:t>
      </w:r>
    </w:p>
    <w:sectPr w:rsidR="005D2F29" w:rsidRPr="00391C26" w:rsidSect="00DE6C68">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5E8" w:rsidRDefault="00C255E8" w:rsidP="00556149">
      <w:r>
        <w:separator/>
      </w:r>
    </w:p>
  </w:endnote>
  <w:endnote w:type="continuationSeparator" w:id="0">
    <w:p w:rsidR="00C255E8" w:rsidRDefault="00C255E8" w:rsidP="005561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5E8" w:rsidRDefault="00C255E8">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6277"/>
      <w:docPartObj>
        <w:docPartGallery w:val="Page Numbers (Bottom of Page)"/>
        <w:docPartUnique/>
      </w:docPartObj>
    </w:sdtPr>
    <w:sdtContent>
      <w:p w:rsidR="00C255E8" w:rsidRDefault="00C255E8">
        <w:pPr>
          <w:pStyle w:val="af"/>
          <w:jc w:val="right"/>
        </w:pPr>
        <w:fldSimple w:instr=" PAGE   \* MERGEFORMAT ">
          <w:r w:rsidR="001E15F8">
            <w:rPr>
              <w:noProof/>
            </w:rPr>
            <w:t>26</w:t>
          </w:r>
        </w:fldSimple>
      </w:p>
    </w:sdtContent>
  </w:sdt>
  <w:p w:rsidR="00C255E8" w:rsidRDefault="00C255E8">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5E8" w:rsidRDefault="00C255E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5E8" w:rsidRDefault="00C255E8" w:rsidP="00556149">
      <w:r>
        <w:separator/>
      </w:r>
    </w:p>
  </w:footnote>
  <w:footnote w:type="continuationSeparator" w:id="0">
    <w:p w:rsidR="00C255E8" w:rsidRDefault="00C255E8" w:rsidP="005561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5E8" w:rsidRDefault="00C255E8">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5E8" w:rsidRDefault="00C255E8">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5E8" w:rsidRDefault="00C255E8">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B92A0D38"/>
    <w:lvl w:ilvl="0">
      <w:start w:val="1"/>
      <w:numFmt w:val="bullet"/>
      <w:pStyle w:val="a"/>
      <w:lvlText w:val=""/>
      <w:lvlJc w:val="left"/>
      <w:pPr>
        <w:tabs>
          <w:tab w:val="num" w:pos="643"/>
        </w:tabs>
        <w:ind w:left="643" w:hanging="360"/>
      </w:pPr>
      <w:rPr>
        <w:rFonts w:ascii="Symbol" w:hAnsi="Symbol" w:hint="default"/>
      </w:rPr>
    </w:lvl>
  </w:abstractNum>
  <w:abstractNum w:abstractNumId="1">
    <w:nsid w:val="FFFFFFFE"/>
    <w:multiLevelType w:val="singleLevel"/>
    <w:tmpl w:val="F2264542"/>
    <w:lvl w:ilvl="0">
      <w:numFmt w:val="bullet"/>
      <w:lvlText w:val="*"/>
      <w:lvlJc w:val="left"/>
    </w:lvl>
  </w:abstractNum>
  <w:abstractNum w:abstractNumId="2">
    <w:nsid w:val="034D4304"/>
    <w:multiLevelType w:val="hybridMultilevel"/>
    <w:tmpl w:val="85AC7AFC"/>
    <w:lvl w:ilvl="0" w:tplc="E80CDA96">
      <w:start w:val="1"/>
      <w:numFmt w:val="decimal"/>
      <w:lvlText w:val="%1"/>
      <w:lvlJc w:val="left"/>
      <w:pPr>
        <w:tabs>
          <w:tab w:val="num" w:pos="57"/>
        </w:tabs>
        <w:ind w:left="57" w:firstLine="0"/>
      </w:pPr>
      <w:rPr>
        <w:rFonts w:ascii="Times New Roman" w:hAnsi="Times New Roman" w:cs="Times New Roman" w:hint="default"/>
        <w:b w:val="0"/>
        <w:i w:val="0"/>
        <w:spacing w:val="0"/>
        <w:w w:val="100"/>
        <w:position w:val="0"/>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8B77B47"/>
    <w:multiLevelType w:val="singleLevel"/>
    <w:tmpl w:val="45263616"/>
    <w:lvl w:ilvl="0">
      <w:numFmt w:val="bullet"/>
      <w:pStyle w:val="2"/>
      <w:lvlText w:val="-"/>
      <w:lvlJc w:val="left"/>
      <w:pPr>
        <w:tabs>
          <w:tab w:val="num" w:pos="1080"/>
        </w:tabs>
        <w:ind w:left="1080" w:hanging="360"/>
      </w:pPr>
    </w:lvl>
  </w:abstractNum>
  <w:abstractNum w:abstractNumId="4">
    <w:nsid w:val="2E3E3463"/>
    <w:multiLevelType w:val="hybridMultilevel"/>
    <w:tmpl w:val="E4EE28D4"/>
    <w:lvl w:ilvl="0" w:tplc="E80CDA96">
      <w:start w:val="1"/>
      <w:numFmt w:val="decimal"/>
      <w:lvlText w:val="%1"/>
      <w:lvlJc w:val="left"/>
      <w:pPr>
        <w:tabs>
          <w:tab w:val="num" w:pos="0"/>
        </w:tabs>
        <w:ind w:left="0" w:firstLine="0"/>
      </w:pPr>
      <w:rPr>
        <w:rFonts w:ascii="Times New Roman" w:hAnsi="Times New Roman" w:cs="Times New Roman" w:hint="default"/>
        <w:b w:val="0"/>
        <w:i w:val="0"/>
        <w:spacing w:val="0"/>
        <w:w w:val="100"/>
        <w:position w:val="0"/>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6C10D1"/>
    <w:multiLevelType w:val="hybridMultilevel"/>
    <w:tmpl w:val="0B98386A"/>
    <w:lvl w:ilvl="0" w:tplc="BF26B3A0">
      <w:start w:val="1"/>
      <w:numFmt w:val="bullet"/>
      <w:pStyle w:val="21"/>
      <w:lvlText w:val=""/>
      <w:lvlJc w:val="left"/>
      <w:pPr>
        <w:tabs>
          <w:tab w:val="num" w:pos="765"/>
        </w:tabs>
        <w:ind w:left="1429" w:hanging="720"/>
      </w:pPr>
      <w:rPr>
        <w:rFonts w:ascii="Symbol" w:hAnsi="Symbol" w:hint="default"/>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0"/>
  </w:num>
  <w:num w:numId="6">
    <w:abstractNumId w:val="1"/>
    <w:lvlOverride w:ilvl="0">
      <w:lvl w:ilvl="0">
        <w:numFmt w:val="bullet"/>
        <w:lvlText w:val="•"/>
        <w:legacy w:legacy="1" w:legacySpace="0" w:legacyIndent="283"/>
        <w:lvlJc w:val="left"/>
        <w:rPr>
          <w:rFonts w:ascii="Arial" w:hAnsi="Arial" w:hint="default"/>
        </w:rPr>
      </w:lvl>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86CB7"/>
    <w:rsid w:val="000155FF"/>
    <w:rsid w:val="000226B2"/>
    <w:rsid w:val="00022B14"/>
    <w:rsid w:val="00032E7A"/>
    <w:rsid w:val="000403EF"/>
    <w:rsid w:val="00044E74"/>
    <w:rsid w:val="00061DB5"/>
    <w:rsid w:val="000706AD"/>
    <w:rsid w:val="00072D13"/>
    <w:rsid w:val="00074A76"/>
    <w:rsid w:val="00082949"/>
    <w:rsid w:val="00095F3B"/>
    <w:rsid w:val="00097D2D"/>
    <w:rsid w:val="000A1EC3"/>
    <w:rsid w:val="000A2E86"/>
    <w:rsid w:val="000A42B1"/>
    <w:rsid w:val="000C5B92"/>
    <w:rsid w:val="000C77BF"/>
    <w:rsid w:val="000F09F8"/>
    <w:rsid w:val="00113C1C"/>
    <w:rsid w:val="0011476E"/>
    <w:rsid w:val="00114ABE"/>
    <w:rsid w:val="00116F4F"/>
    <w:rsid w:val="0014145B"/>
    <w:rsid w:val="0016158A"/>
    <w:rsid w:val="00175EBD"/>
    <w:rsid w:val="00182358"/>
    <w:rsid w:val="00182377"/>
    <w:rsid w:val="00187078"/>
    <w:rsid w:val="001956AE"/>
    <w:rsid w:val="001B5C5F"/>
    <w:rsid w:val="001B6CCC"/>
    <w:rsid w:val="001B70DD"/>
    <w:rsid w:val="001D6723"/>
    <w:rsid w:val="001E15F8"/>
    <w:rsid w:val="001E5D28"/>
    <w:rsid w:val="001E694B"/>
    <w:rsid w:val="001E6C61"/>
    <w:rsid w:val="00206C4D"/>
    <w:rsid w:val="002275B8"/>
    <w:rsid w:val="00230339"/>
    <w:rsid w:val="00233397"/>
    <w:rsid w:val="002350E7"/>
    <w:rsid w:val="00246577"/>
    <w:rsid w:val="00254D3A"/>
    <w:rsid w:val="0025728E"/>
    <w:rsid w:val="002659D0"/>
    <w:rsid w:val="0027147F"/>
    <w:rsid w:val="00275365"/>
    <w:rsid w:val="00290ED7"/>
    <w:rsid w:val="00291D07"/>
    <w:rsid w:val="00296775"/>
    <w:rsid w:val="002A1521"/>
    <w:rsid w:val="002C1615"/>
    <w:rsid w:val="002D5C4F"/>
    <w:rsid w:val="002E18E1"/>
    <w:rsid w:val="002F0662"/>
    <w:rsid w:val="002F0D13"/>
    <w:rsid w:val="002F1E94"/>
    <w:rsid w:val="002F2DE0"/>
    <w:rsid w:val="003013EF"/>
    <w:rsid w:val="003020CA"/>
    <w:rsid w:val="00303006"/>
    <w:rsid w:val="00311964"/>
    <w:rsid w:val="00314B84"/>
    <w:rsid w:val="00315086"/>
    <w:rsid w:val="003150E6"/>
    <w:rsid w:val="00316D12"/>
    <w:rsid w:val="00317B60"/>
    <w:rsid w:val="00320598"/>
    <w:rsid w:val="00324F26"/>
    <w:rsid w:val="00330158"/>
    <w:rsid w:val="00334AA6"/>
    <w:rsid w:val="00336A6E"/>
    <w:rsid w:val="003440B6"/>
    <w:rsid w:val="00344E58"/>
    <w:rsid w:val="00352087"/>
    <w:rsid w:val="003630FD"/>
    <w:rsid w:val="00374021"/>
    <w:rsid w:val="00386CB7"/>
    <w:rsid w:val="00394425"/>
    <w:rsid w:val="003C5140"/>
    <w:rsid w:val="003F2CA0"/>
    <w:rsid w:val="00404ACB"/>
    <w:rsid w:val="004167FD"/>
    <w:rsid w:val="0042105E"/>
    <w:rsid w:val="00432011"/>
    <w:rsid w:val="00433C3F"/>
    <w:rsid w:val="00453B65"/>
    <w:rsid w:val="004638B2"/>
    <w:rsid w:val="00470C8D"/>
    <w:rsid w:val="0047206E"/>
    <w:rsid w:val="00474805"/>
    <w:rsid w:val="004801F1"/>
    <w:rsid w:val="004817F4"/>
    <w:rsid w:val="00482974"/>
    <w:rsid w:val="004902B7"/>
    <w:rsid w:val="004909E5"/>
    <w:rsid w:val="004A3409"/>
    <w:rsid w:val="004A49C3"/>
    <w:rsid w:val="004A5758"/>
    <w:rsid w:val="004B38D1"/>
    <w:rsid w:val="004D4B38"/>
    <w:rsid w:val="004E1764"/>
    <w:rsid w:val="004E59B0"/>
    <w:rsid w:val="004F52D2"/>
    <w:rsid w:val="004F6150"/>
    <w:rsid w:val="00507010"/>
    <w:rsid w:val="00514D3F"/>
    <w:rsid w:val="00515DEE"/>
    <w:rsid w:val="00517469"/>
    <w:rsid w:val="005265AD"/>
    <w:rsid w:val="005279BE"/>
    <w:rsid w:val="00532238"/>
    <w:rsid w:val="00547952"/>
    <w:rsid w:val="00556149"/>
    <w:rsid w:val="00556E2A"/>
    <w:rsid w:val="00560781"/>
    <w:rsid w:val="00581AD8"/>
    <w:rsid w:val="005833FC"/>
    <w:rsid w:val="0058663C"/>
    <w:rsid w:val="00590CC9"/>
    <w:rsid w:val="005912CC"/>
    <w:rsid w:val="005B07BE"/>
    <w:rsid w:val="005B0BEC"/>
    <w:rsid w:val="005B43AA"/>
    <w:rsid w:val="005C24C6"/>
    <w:rsid w:val="005D2F29"/>
    <w:rsid w:val="005D5BEB"/>
    <w:rsid w:val="005D71F1"/>
    <w:rsid w:val="005D7512"/>
    <w:rsid w:val="005E44FB"/>
    <w:rsid w:val="005F273E"/>
    <w:rsid w:val="00603FC4"/>
    <w:rsid w:val="006167E8"/>
    <w:rsid w:val="00620A6E"/>
    <w:rsid w:val="0062647C"/>
    <w:rsid w:val="00652851"/>
    <w:rsid w:val="006619D0"/>
    <w:rsid w:val="00666052"/>
    <w:rsid w:val="00666569"/>
    <w:rsid w:val="006737E3"/>
    <w:rsid w:val="00680579"/>
    <w:rsid w:val="00685294"/>
    <w:rsid w:val="00695C2D"/>
    <w:rsid w:val="006A6C61"/>
    <w:rsid w:val="006B6D63"/>
    <w:rsid w:val="006C177F"/>
    <w:rsid w:val="006C179E"/>
    <w:rsid w:val="006C3CDF"/>
    <w:rsid w:val="006C3DBA"/>
    <w:rsid w:val="006D12B4"/>
    <w:rsid w:val="006D5B69"/>
    <w:rsid w:val="006D7C17"/>
    <w:rsid w:val="006E15A7"/>
    <w:rsid w:val="006E1636"/>
    <w:rsid w:val="006E241D"/>
    <w:rsid w:val="00705C6A"/>
    <w:rsid w:val="007149AF"/>
    <w:rsid w:val="00715485"/>
    <w:rsid w:val="00720827"/>
    <w:rsid w:val="00725416"/>
    <w:rsid w:val="007432AA"/>
    <w:rsid w:val="00753428"/>
    <w:rsid w:val="007535F6"/>
    <w:rsid w:val="00760CE8"/>
    <w:rsid w:val="00767E20"/>
    <w:rsid w:val="00775835"/>
    <w:rsid w:val="00776572"/>
    <w:rsid w:val="007A2701"/>
    <w:rsid w:val="007A7127"/>
    <w:rsid w:val="007B12EE"/>
    <w:rsid w:val="007B6F26"/>
    <w:rsid w:val="007C07BB"/>
    <w:rsid w:val="007C1F7F"/>
    <w:rsid w:val="007D2BF2"/>
    <w:rsid w:val="007E167B"/>
    <w:rsid w:val="007E1B2D"/>
    <w:rsid w:val="007E3075"/>
    <w:rsid w:val="00804E79"/>
    <w:rsid w:val="0081518C"/>
    <w:rsid w:val="00815697"/>
    <w:rsid w:val="008171AA"/>
    <w:rsid w:val="008365B6"/>
    <w:rsid w:val="0083660D"/>
    <w:rsid w:val="00837AFA"/>
    <w:rsid w:val="00840373"/>
    <w:rsid w:val="00845224"/>
    <w:rsid w:val="00847286"/>
    <w:rsid w:val="008523CC"/>
    <w:rsid w:val="00857763"/>
    <w:rsid w:val="00872496"/>
    <w:rsid w:val="00887C22"/>
    <w:rsid w:val="008976E2"/>
    <w:rsid w:val="008B50F4"/>
    <w:rsid w:val="008B6DE8"/>
    <w:rsid w:val="008C0F36"/>
    <w:rsid w:val="008D51CF"/>
    <w:rsid w:val="008D7DA4"/>
    <w:rsid w:val="008F0348"/>
    <w:rsid w:val="00901FC1"/>
    <w:rsid w:val="00924D67"/>
    <w:rsid w:val="0094210D"/>
    <w:rsid w:val="00951740"/>
    <w:rsid w:val="00972608"/>
    <w:rsid w:val="00972FE3"/>
    <w:rsid w:val="00974454"/>
    <w:rsid w:val="00984E7E"/>
    <w:rsid w:val="009A2F4D"/>
    <w:rsid w:val="009A4B73"/>
    <w:rsid w:val="009A5729"/>
    <w:rsid w:val="009A572C"/>
    <w:rsid w:val="009B338F"/>
    <w:rsid w:val="009C32CD"/>
    <w:rsid w:val="009D5284"/>
    <w:rsid w:val="009F4E49"/>
    <w:rsid w:val="00A0540F"/>
    <w:rsid w:val="00A05A7E"/>
    <w:rsid w:val="00A15E50"/>
    <w:rsid w:val="00A46437"/>
    <w:rsid w:val="00A46A64"/>
    <w:rsid w:val="00A46E26"/>
    <w:rsid w:val="00A52614"/>
    <w:rsid w:val="00A53DAF"/>
    <w:rsid w:val="00A552F4"/>
    <w:rsid w:val="00A61FD7"/>
    <w:rsid w:val="00A62128"/>
    <w:rsid w:val="00A74457"/>
    <w:rsid w:val="00A74E03"/>
    <w:rsid w:val="00A922F4"/>
    <w:rsid w:val="00A95DF5"/>
    <w:rsid w:val="00AA08B5"/>
    <w:rsid w:val="00AB631D"/>
    <w:rsid w:val="00AC27C7"/>
    <w:rsid w:val="00AC5358"/>
    <w:rsid w:val="00AD4685"/>
    <w:rsid w:val="00AE12CE"/>
    <w:rsid w:val="00AE6602"/>
    <w:rsid w:val="00AF42BE"/>
    <w:rsid w:val="00B14719"/>
    <w:rsid w:val="00B25A71"/>
    <w:rsid w:val="00B36E40"/>
    <w:rsid w:val="00B528BD"/>
    <w:rsid w:val="00B52A9D"/>
    <w:rsid w:val="00B61C92"/>
    <w:rsid w:val="00B6573B"/>
    <w:rsid w:val="00B66B37"/>
    <w:rsid w:val="00B7445F"/>
    <w:rsid w:val="00B832CA"/>
    <w:rsid w:val="00B94B39"/>
    <w:rsid w:val="00B96325"/>
    <w:rsid w:val="00BA6448"/>
    <w:rsid w:val="00BA688E"/>
    <w:rsid w:val="00BB0324"/>
    <w:rsid w:val="00BB3F3F"/>
    <w:rsid w:val="00BB3FB7"/>
    <w:rsid w:val="00BB3FBF"/>
    <w:rsid w:val="00BD06BD"/>
    <w:rsid w:val="00BD12AC"/>
    <w:rsid w:val="00BD5BAF"/>
    <w:rsid w:val="00BD610A"/>
    <w:rsid w:val="00BE2A33"/>
    <w:rsid w:val="00BE2BF6"/>
    <w:rsid w:val="00BE5BF2"/>
    <w:rsid w:val="00BF06F0"/>
    <w:rsid w:val="00BF1A3D"/>
    <w:rsid w:val="00BF592F"/>
    <w:rsid w:val="00BF74C4"/>
    <w:rsid w:val="00C01436"/>
    <w:rsid w:val="00C06C56"/>
    <w:rsid w:val="00C255E8"/>
    <w:rsid w:val="00C26947"/>
    <w:rsid w:val="00C30606"/>
    <w:rsid w:val="00C40D7E"/>
    <w:rsid w:val="00C527F3"/>
    <w:rsid w:val="00C602DB"/>
    <w:rsid w:val="00C74F7A"/>
    <w:rsid w:val="00C76CDC"/>
    <w:rsid w:val="00C93671"/>
    <w:rsid w:val="00C97AE9"/>
    <w:rsid w:val="00CB1361"/>
    <w:rsid w:val="00CC23B5"/>
    <w:rsid w:val="00CD0A0E"/>
    <w:rsid w:val="00CF24C2"/>
    <w:rsid w:val="00CF6106"/>
    <w:rsid w:val="00CF6B66"/>
    <w:rsid w:val="00D02F59"/>
    <w:rsid w:val="00D106BD"/>
    <w:rsid w:val="00D22DAB"/>
    <w:rsid w:val="00D23495"/>
    <w:rsid w:val="00D31004"/>
    <w:rsid w:val="00D35B5D"/>
    <w:rsid w:val="00D37614"/>
    <w:rsid w:val="00D4142D"/>
    <w:rsid w:val="00D43264"/>
    <w:rsid w:val="00D43850"/>
    <w:rsid w:val="00D4442A"/>
    <w:rsid w:val="00D54EE3"/>
    <w:rsid w:val="00D602CB"/>
    <w:rsid w:val="00D61869"/>
    <w:rsid w:val="00D76E79"/>
    <w:rsid w:val="00DA4C2B"/>
    <w:rsid w:val="00DB37AD"/>
    <w:rsid w:val="00DB418D"/>
    <w:rsid w:val="00DC4A94"/>
    <w:rsid w:val="00DC4D4B"/>
    <w:rsid w:val="00DC6D6F"/>
    <w:rsid w:val="00DE3867"/>
    <w:rsid w:val="00DE69C0"/>
    <w:rsid w:val="00DE6C68"/>
    <w:rsid w:val="00DF44D2"/>
    <w:rsid w:val="00E22E2A"/>
    <w:rsid w:val="00E24A4C"/>
    <w:rsid w:val="00E30BE5"/>
    <w:rsid w:val="00E37AAF"/>
    <w:rsid w:val="00E43E10"/>
    <w:rsid w:val="00E4451A"/>
    <w:rsid w:val="00E55620"/>
    <w:rsid w:val="00E74761"/>
    <w:rsid w:val="00E75A6E"/>
    <w:rsid w:val="00E770AA"/>
    <w:rsid w:val="00E81C58"/>
    <w:rsid w:val="00E95701"/>
    <w:rsid w:val="00E96F88"/>
    <w:rsid w:val="00EC67B1"/>
    <w:rsid w:val="00ED3B8C"/>
    <w:rsid w:val="00ED73AB"/>
    <w:rsid w:val="00EE1FB1"/>
    <w:rsid w:val="00EE579F"/>
    <w:rsid w:val="00F039F2"/>
    <w:rsid w:val="00F03B53"/>
    <w:rsid w:val="00F14C08"/>
    <w:rsid w:val="00F14E66"/>
    <w:rsid w:val="00F2176E"/>
    <w:rsid w:val="00F3435B"/>
    <w:rsid w:val="00F520F1"/>
    <w:rsid w:val="00F56F7E"/>
    <w:rsid w:val="00F6374B"/>
    <w:rsid w:val="00F83DA7"/>
    <w:rsid w:val="00F87AE0"/>
    <w:rsid w:val="00FA37F2"/>
    <w:rsid w:val="00FB2C8F"/>
    <w:rsid w:val="00FD1C9B"/>
    <w:rsid w:val="00FD2D81"/>
    <w:rsid w:val="00FD35E0"/>
    <w:rsid w:val="00FD5B94"/>
    <w:rsid w:val="00FE1645"/>
    <w:rsid w:val="00FE4B4A"/>
    <w:rsid w:val="00FF0276"/>
    <w:rsid w:val="00FF10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index heading" w:uiPriority="0"/>
    <w:lsdException w:name="caption" w:locked="1" w:uiPriority="0" w:qFormat="1"/>
    <w:lsdException w:name="footnote reference" w:uiPriority="0"/>
    <w:lsdException w:name="line number" w:uiPriority="0"/>
    <w:lsdException w:name="page number" w:uiPriority="0"/>
    <w:lsdException w:name="List" w:uiPriority="0"/>
    <w:lsdException w:name="List 2" w:uiPriority="0"/>
    <w:lsdException w:name="List 3" w:uiPriority="0"/>
    <w:lsdException w:name="List Bullet 2"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List Continue" w:uiPriority="0"/>
    <w:lsdException w:name="Message Header" w:uiPriority="0"/>
    <w:lsdException w:name="Subtitle" w:locked="1"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Plain Text" w:locked="1" w:semiHidden="0" w:uiPriority="0" w:unhideWhenUsed="0"/>
    <w:lsdException w:name="Normal (Web)" w:uiPriority="34" w:qFormat="1"/>
    <w:lsdException w:name="HTML Preformatted" w:uiPriority="0"/>
    <w:lsdException w:name="No List" w:uiPriority="0"/>
    <w:lsdException w:name="Table Professional" w:uiPriority="0"/>
    <w:lsdException w:name="Table Web 1"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86CB7"/>
    <w:rPr>
      <w:rFonts w:ascii="Times New Roman" w:eastAsia="Times New Roman" w:hAnsi="Times New Roman"/>
      <w:sz w:val="24"/>
      <w:szCs w:val="24"/>
    </w:rPr>
  </w:style>
  <w:style w:type="paragraph" w:styleId="1">
    <w:name w:val="heading 1"/>
    <w:aliases w:val="Наименование раздела,Раздел Договора,H1,&quot;Алмаз&quot;"/>
    <w:basedOn w:val="a0"/>
    <w:next w:val="a0"/>
    <w:link w:val="10"/>
    <w:qFormat/>
    <w:locked/>
    <w:rsid w:val="00B832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Наименование главы"/>
    <w:basedOn w:val="a0"/>
    <w:link w:val="22"/>
    <w:qFormat/>
    <w:rsid w:val="000C77BF"/>
    <w:pPr>
      <w:spacing w:before="100" w:beforeAutospacing="1" w:after="100" w:afterAutospacing="1"/>
      <w:outlineLvl w:val="1"/>
    </w:pPr>
    <w:rPr>
      <w:b/>
      <w:bCs/>
      <w:sz w:val="36"/>
      <w:szCs w:val="36"/>
    </w:rPr>
  </w:style>
  <w:style w:type="paragraph" w:styleId="3">
    <w:name w:val="heading 3"/>
    <w:basedOn w:val="a0"/>
    <w:next w:val="a0"/>
    <w:link w:val="30"/>
    <w:unhideWhenUsed/>
    <w:qFormat/>
    <w:locked/>
    <w:rsid w:val="00D61869"/>
    <w:pPr>
      <w:keepNext/>
      <w:spacing w:before="240" w:after="60"/>
      <w:outlineLvl w:val="2"/>
    </w:pPr>
    <w:rPr>
      <w:rFonts w:ascii="Arial" w:hAnsi="Arial" w:cs="Arial"/>
      <w:b/>
      <w:bCs/>
      <w:sz w:val="26"/>
      <w:szCs w:val="26"/>
    </w:rPr>
  </w:style>
  <w:style w:type="paragraph" w:styleId="4">
    <w:name w:val="heading 4"/>
    <w:basedOn w:val="a0"/>
    <w:next w:val="a0"/>
    <w:link w:val="40"/>
    <w:qFormat/>
    <w:locked/>
    <w:rsid w:val="005D2F29"/>
    <w:pPr>
      <w:keepNext/>
      <w:jc w:val="center"/>
      <w:outlineLvl w:val="3"/>
    </w:pPr>
    <w:rPr>
      <w:rFonts w:eastAsia="Calibri"/>
      <w:b/>
      <w:bCs/>
      <w:noProof/>
    </w:rPr>
  </w:style>
  <w:style w:type="paragraph" w:styleId="5">
    <w:name w:val="heading 5"/>
    <w:basedOn w:val="a0"/>
    <w:next w:val="a0"/>
    <w:link w:val="50"/>
    <w:qFormat/>
    <w:locked/>
    <w:rsid w:val="005D2F29"/>
    <w:pPr>
      <w:keepNext/>
      <w:overflowPunct w:val="0"/>
      <w:autoSpaceDE w:val="0"/>
      <w:autoSpaceDN w:val="0"/>
      <w:adjustRightInd w:val="0"/>
      <w:jc w:val="center"/>
      <w:textAlignment w:val="baseline"/>
      <w:outlineLvl w:val="4"/>
    </w:pPr>
    <w:rPr>
      <w:rFonts w:eastAsia="Calibri"/>
      <w:b/>
      <w:bCs/>
      <w:noProof/>
      <w:sz w:val="28"/>
      <w:szCs w:val="28"/>
    </w:rPr>
  </w:style>
  <w:style w:type="paragraph" w:styleId="6">
    <w:name w:val="heading 6"/>
    <w:basedOn w:val="a0"/>
    <w:next w:val="a0"/>
    <w:link w:val="60"/>
    <w:qFormat/>
    <w:locked/>
    <w:rsid w:val="005D2F29"/>
    <w:pPr>
      <w:keepNext/>
      <w:jc w:val="both"/>
      <w:outlineLvl w:val="5"/>
    </w:pPr>
    <w:rPr>
      <w:rFonts w:ascii="Arial" w:eastAsia="Calibri" w:hAnsi="Arial" w:cs="Arial"/>
      <w:b/>
      <w:bCs/>
      <w:noProof/>
    </w:rPr>
  </w:style>
  <w:style w:type="paragraph" w:styleId="7">
    <w:name w:val="heading 7"/>
    <w:basedOn w:val="a0"/>
    <w:next w:val="a0"/>
    <w:link w:val="70"/>
    <w:qFormat/>
    <w:locked/>
    <w:rsid w:val="005D2F29"/>
    <w:pPr>
      <w:keepNext/>
      <w:jc w:val="center"/>
      <w:outlineLvl w:val="6"/>
    </w:pPr>
    <w:rPr>
      <w:rFonts w:eastAsia="Calibri"/>
      <w:b/>
      <w:bCs/>
      <w:noProof/>
      <w:sz w:val="32"/>
      <w:szCs w:val="32"/>
    </w:rPr>
  </w:style>
  <w:style w:type="paragraph" w:styleId="8">
    <w:name w:val="heading 8"/>
    <w:basedOn w:val="a0"/>
    <w:next w:val="a0"/>
    <w:link w:val="80"/>
    <w:qFormat/>
    <w:locked/>
    <w:rsid w:val="005D2F29"/>
    <w:pPr>
      <w:keepNext/>
      <w:jc w:val="right"/>
      <w:outlineLvl w:val="7"/>
    </w:pPr>
    <w:rPr>
      <w:rFonts w:eastAsia="Calibri"/>
      <w:b/>
      <w:bCs/>
      <w:i/>
      <w:iCs/>
      <w:noProof/>
    </w:rPr>
  </w:style>
  <w:style w:type="paragraph" w:styleId="9">
    <w:name w:val="heading 9"/>
    <w:basedOn w:val="a0"/>
    <w:next w:val="a0"/>
    <w:link w:val="90"/>
    <w:qFormat/>
    <w:locked/>
    <w:rsid w:val="005D2F29"/>
    <w:pPr>
      <w:keepNext/>
      <w:jc w:val="center"/>
      <w:outlineLvl w:val="8"/>
    </w:pPr>
    <w:rPr>
      <w:rFonts w:ascii="Arial" w:eastAsia="Calibri" w:hAnsi="Arial" w:cs="Arial"/>
      <w:b/>
      <w:bCs/>
      <w:i/>
      <w:iCs/>
      <w:noProo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Наименование раздела Знак,Раздел Договора Знак,H1 Знак,&quot;Алмаз&quot; Знак"/>
    <w:basedOn w:val="a1"/>
    <w:link w:val="1"/>
    <w:rsid w:val="00B832CA"/>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Наименование главы Знак"/>
    <w:basedOn w:val="a1"/>
    <w:link w:val="20"/>
    <w:locked/>
    <w:rsid w:val="000C77BF"/>
    <w:rPr>
      <w:rFonts w:ascii="Times New Roman" w:hAnsi="Times New Roman" w:cs="Times New Roman"/>
      <w:b/>
      <w:bCs/>
      <w:sz w:val="36"/>
      <w:szCs w:val="36"/>
      <w:lang w:eastAsia="ru-RU"/>
    </w:rPr>
  </w:style>
  <w:style w:type="character" w:customStyle="1" w:styleId="30">
    <w:name w:val="Заголовок 3 Знак"/>
    <w:basedOn w:val="a1"/>
    <w:link w:val="3"/>
    <w:rsid w:val="00D61869"/>
    <w:rPr>
      <w:rFonts w:ascii="Arial" w:eastAsia="Times New Roman" w:hAnsi="Arial" w:cs="Arial"/>
      <w:b/>
      <w:bCs/>
      <w:sz w:val="26"/>
      <w:szCs w:val="26"/>
    </w:rPr>
  </w:style>
  <w:style w:type="character" w:customStyle="1" w:styleId="40">
    <w:name w:val="Заголовок 4 Знак"/>
    <w:basedOn w:val="a1"/>
    <w:link w:val="4"/>
    <w:rsid w:val="005D2F29"/>
    <w:rPr>
      <w:rFonts w:ascii="Times New Roman" w:hAnsi="Times New Roman"/>
      <w:b/>
      <w:bCs/>
      <w:noProof/>
      <w:sz w:val="24"/>
      <w:szCs w:val="24"/>
    </w:rPr>
  </w:style>
  <w:style w:type="character" w:customStyle="1" w:styleId="50">
    <w:name w:val="Заголовок 5 Знак"/>
    <w:basedOn w:val="a1"/>
    <w:link w:val="5"/>
    <w:rsid w:val="005D2F29"/>
    <w:rPr>
      <w:rFonts w:ascii="Times New Roman" w:hAnsi="Times New Roman"/>
      <w:b/>
      <w:bCs/>
      <w:noProof/>
      <w:sz w:val="28"/>
      <w:szCs w:val="28"/>
    </w:rPr>
  </w:style>
  <w:style w:type="character" w:customStyle="1" w:styleId="60">
    <w:name w:val="Заголовок 6 Знак"/>
    <w:basedOn w:val="a1"/>
    <w:link w:val="6"/>
    <w:rsid w:val="005D2F29"/>
    <w:rPr>
      <w:rFonts w:ascii="Arial" w:hAnsi="Arial" w:cs="Arial"/>
      <w:b/>
      <w:bCs/>
      <w:noProof/>
      <w:sz w:val="24"/>
      <w:szCs w:val="24"/>
    </w:rPr>
  </w:style>
  <w:style w:type="character" w:customStyle="1" w:styleId="70">
    <w:name w:val="Заголовок 7 Знак"/>
    <w:basedOn w:val="a1"/>
    <w:link w:val="7"/>
    <w:rsid w:val="005D2F29"/>
    <w:rPr>
      <w:rFonts w:ascii="Times New Roman" w:hAnsi="Times New Roman"/>
      <w:b/>
      <w:bCs/>
      <w:noProof/>
      <w:sz w:val="32"/>
      <w:szCs w:val="32"/>
    </w:rPr>
  </w:style>
  <w:style w:type="character" w:customStyle="1" w:styleId="80">
    <w:name w:val="Заголовок 8 Знак"/>
    <w:basedOn w:val="a1"/>
    <w:link w:val="8"/>
    <w:rsid w:val="005D2F29"/>
    <w:rPr>
      <w:rFonts w:ascii="Times New Roman" w:hAnsi="Times New Roman"/>
      <w:b/>
      <w:bCs/>
      <w:i/>
      <w:iCs/>
      <w:noProof/>
      <w:sz w:val="24"/>
      <w:szCs w:val="24"/>
    </w:rPr>
  </w:style>
  <w:style w:type="character" w:customStyle="1" w:styleId="90">
    <w:name w:val="Заголовок 9 Знак"/>
    <w:basedOn w:val="a1"/>
    <w:link w:val="9"/>
    <w:rsid w:val="005D2F29"/>
    <w:rPr>
      <w:rFonts w:ascii="Arial" w:hAnsi="Arial" w:cs="Arial"/>
      <w:b/>
      <w:bCs/>
      <w:i/>
      <w:iCs/>
      <w:noProof/>
      <w:sz w:val="24"/>
      <w:szCs w:val="24"/>
    </w:rPr>
  </w:style>
  <w:style w:type="paragraph" w:customStyle="1" w:styleId="ConsPlusNormal">
    <w:name w:val="ConsPlusNormal"/>
    <w:rsid w:val="00386CB7"/>
    <w:pPr>
      <w:widowControl w:val="0"/>
      <w:autoSpaceDE w:val="0"/>
      <w:autoSpaceDN w:val="0"/>
      <w:adjustRightInd w:val="0"/>
      <w:ind w:firstLine="720"/>
    </w:pPr>
    <w:rPr>
      <w:rFonts w:ascii="Arial" w:eastAsia="Times New Roman" w:hAnsi="Arial" w:cs="Arial"/>
      <w:sz w:val="20"/>
      <w:szCs w:val="20"/>
    </w:rPr>
  </w:style>
  <w:style w:type="paragraph" w:styleId="a4">
    <w:name w:val="Plain Text"/>
    <w:basedOn w:val="a0"/>
    <w:link w:val="a5"/>
    <w:rsid w:val="00386CB7"/>
    <w:rPr>
      <w:rFonts w:ascii="Courier New" w:hAnsi="Courier New" w:cs="Courier New"/>
      <w:sz w:val="20"/>
      <w:szCs w:val="20"/>
    </w:rPr>
  </w:style>
  <w:style w:type="character" w:customStyle="1" w:styleId="a5">
    <w:name w:val="Текст Знак"/>
    <w:basedOn w:val="a1"/>
    <w:link w:val="a4"/>
    <w:locked/>
    <w:rsid w:val="00386CB7"/>
    <w:rPr>
      <w:rFonts w:ascii="Courier New" w:hAnsi="Courier New" w:cs="Courier New"/>
      <w:sz w:val="20"/>
      <w:szCs w:val="20"/>
      <w:lang w:eastAsia="ru-RU"/>
    </w:rPr>
  </w:style>
  <w:style w:type="paragraph" w:styleId="a6">
    <w:name w:val="Body Text"/>
    <w:aliases w:val="Основной,bt,Основной текст Знак Знак Знак Знак"/>
    <w:basedOn w:val="a0"/>
    <w:link w:val="a7"/>
    <w:qFormat/>
    <w:rsid w:val="00386CB7"/>
    <w:pPr>
      <w:suppressAutoHyphens/>
      <w:autoSpaceDE w:val="0"/>
      <w:jc w:val="both"/>
    </w:pPr>
    <w:rPr>
      <w:szCs w:val="20"/>
      <w:lang w:eastAsia="ar-SA"/>
    </w:rPr>
  </w:style>
  <w:style w:type="character" w:customStyle="1" w:styleId="a7">
    <w:name w:val="Основной текст Знак"/>
    <w:aliases w:val="Основной Знак,bt Знак,Основной текст Знак Знак Знак Знак Знак,Основной текст1 Знак"/>
    <w:basedOn w:val="a1"/>
    <w:link w:val="a6"/>
    <w:locked/>
    <w:rsid w:val="00386CB7"/>
    <w:rPr>
      <w:rFonts w:ascii="Times New Roman" w:hAnsi="Times New Roman" w:cs="Times New Roman"/>
      <w:sz w:val="20"/>
      <w:szCs w:val="20"/>
      <w:lang w:eastAsia="ar-SA" w:bidi="ar-SA"/>
    </w:rPr>
  </w:style>
  <w:style w:type="paragraph" w:customStyle="1" w:styleId="s1">
    <w:name w:val="s_1"/>
    <w:basedOn w:val="a0"/>
    <w:rsid w:val="00386CB7"/>
    <w:pPr>
      <w:spacing w:before="100" w:beforeAutospacing="1" w:after="100" w:afterAutospacing="1"/>
    </w:pPr>
  </w:style>
  <w:style w:type="character" w:styleId="a8">
    <w:name w:val="Hyperlink"/>
    <w:basedOn w:val="a1"/>
    <w:uiPriority w:val="99"/>
    <w:rsid w:val="005F273E"/>
    <w:rPr>
      <w:rFonts w:cs="Times New Roman"/>
      <w:color w:val="0000FF"/>
      <w:u w:val="single"/>
    </w:rPr>
  </w:style>
  <w:style w:type="paragraph" w:styleId="a9">
    <w:name w:val="List Paragraph"/>
    <w:basedOn w:val="a0"/>
    <w:link w:val="aa"/>
    <w:uiPriority w:val="34"/>
    <w:qFormat/>
    <w:rsid w:val="00044E74"/>
    <w:pPr>
      <w:spacing w:after="160" w:line="259" w:lineRule="auto"/>
      <w:ind w:left="708"/>
    </w:pPr>
    <w:rPr>
      <w:rFonts w:ascii="Calibri" w:eastAsia="Calibri" w:hAnsi="Calibri"/>
      <w:sz w:val="22"/>
      <w:szCs w:val="22"/>
      <w:lang w:eastAsia="en-US"/>
    </w:rPr>
  </w:style>
  <w:style w:type="character" w:customStyle="1" w:styleId="aa">
    <w:name w:val="Абзац списка Знак"/>
    <w:link w:val="a9"/>
    <w:uiPriority w:val="34"/>
    <w:locked/>
    <w:rsid w:val="00685294"/>
    <w:rPr>
      <w:lang w:eastAsia="en-US"/>
    </w:rPr>
  </w:style>
  <w:style w:type="paragraph" w:customStyle="1" w:styleId="11">
    <w:name w:val="Основной текст1"/>
    <w:basedOn w:val="a0"/>
    <w:uiPriority w:val="99"/>
    <w:rsid w:val="00044E74"/>
    <w:pPr>
      <w:snapToGrid w:val="0"/>
      <w:spacing w:line="360" w:lineRule="auto"/>
      <w:jc w:val="both"/>
    </w:pPr>
    <w:rPr>
      <w:szCs w:val="20"/>
    </w:rPr>
  </w:style>
  <w:style w:type="paragraph" w:styleId="31">
    <w:name w:val="Body Text Indent 3"/>
    <w:basedOn w:val="a0"/>
    <w:link w:val="32"/>
    <w:rsid w:val="00453B65"/>
    <w:pPr>
      <w:spacing w:after="120"/>
      <w:ind w:left="283"/>
    </w:pPr>
    <w:rPr>
      <w:sz w:val="16"/>
      <w:szCs w:val="16"/>
    </w:rPr>
  </w:style>
  <w:style w:type="character" w:customStyle="1" w:styleId="32">
    <w:name w:val="Основной текст с отступом 3 Знак"/>
    <w:basedOn w:val="a1"/>
    <w:link w:val="31"/>
    <w:locked/>
    <w:rsid w:val="00453B65"/>
    <w:rPr>
      <w:rFonts w:ascii="Times New Roman" w:hAnsi="Times New Roman" w:cs="Times New Roman"/>
      <w:sz w:val="16"/>
      <w:szCs w:val="16"/>
      <w:lang w:eastAsia="ru-RU"/>
    </w:rPr>
  </w:style>
  <w:style w:type="paragraph" w:styleId="ab">
    <w:name w:val="Normal (Web)"/>
    <w:aliases w:val="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0"/>
    <w:link w:val="ac"/>
    <w:uiPriority w:val="34"/>
    <w:unhideWhenUsed/>
    <w:qFormat/>
    <w:rsid w:val="00C26947"/>
    <w:pPr>
      <w:spacing w:before="100" w:beforeAutospacing="1" w:after="100" w:afterAutospacing="1"/>
    </w:pPr>
  </w:style>
  <w:style w:type="character" w:customStyle="1" w:styleId="ac">
    <w:name w:val="Обычный (веб) Знак"/>
    <w:aliases w:val="Обычный (Web)1 Знак,Знак Знак3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basedOn w:val="a1"/>
    <w:link w:val="ab"/>
    <w:uiPriority w:val="34"/>
    <w:locked/>
    <w:rsid w:val="005D2F29"/>
    <w:rPr>
      <w:rFonts w:ascii="Times New Roman" w:eastAsia="Times New Roman" w:hAnsi="Times New Roman"/>
      <w:sz w:val="24"/>
      <w:szCs w:val="24"/>
    </w:rPr>
  </w:style>
  <w:style w:type="paragraph" w:styleId="ad">
    <w:name w:val="header"/>
    <w:aliases w:val="ВерхКолонтитул"/>
    <w:basedOn w:val="a0"/>
    <w:link w:val="ae"/>
    <w:unhideWhenUsed/>
    <w:rsid w:val="00556149"/>
    <w:pPr>
      <w:tabs>
        <w:tab w:val="center" w:pos="4677"/>
        <w:tab w:val="right" w:pos="9355"/>
      </w:tabs>
    </w:pPr>
  </w:style>
  <w:style w:type="character" w:customStyle="1" w:styleId="ae">
    <w:name w:val="Верхний колонтитул Знак"/>
    <w:aliases w:val="ВерхКолонтитул Знак"/>
    <w:basedOn w:val="a1"/>
    <w:link w:val="ad"/>
    <w:rsid w:val="00556149"/>
    <w:rPr>
      <w:rFonts w:ascii="Times New Roman" w:eastAsia="Times New Roman" w:hAnsi="Times New Roman"/>
      <w:sz w:val="24"/>
      <w:szCs w:val="24"/>
    </w:rPr>
  </w:style>
  <w:style w:type="paragraph" w:styleId="af">
    <w:name w:val="footer"/>
    <w:basedOn w:val="a0"/>
    <w:link w:val="af0"/>
    <w:unhideWhenUsed/>
    <w:rsid w:val="00556149"/>
    <w:pPr>
      <w:tabs>
        <w:tab w:val="center" w:pos="4677"/>
        <w:tab w:val="right" w:pos="9355"/>
      </w:tabs>
    </w:pPr>
  </w:style>
  <w:style w:type="character" w:customStyle="1" w:styleId="af0">
    <w:name w:val="Нижний колонтитул Знак"/>
    <w:basedOn w:val="a1"/>
    <w:link w:val="af"/>
    <w:rsid w:val="00556149"/>
    <w:rPr>
      <w:rFonts w:ascii="Times New Roman" w:eastAsia="Times New Roman" w:hAnsi="Times New Roman"/>
      <w:sz w:val="24"/>
      <w:szCs w:val="24"/>
    </w:rPr>
  </w:style>
  <w:style w:type="paragraph" w:customStyle="1" w:styleId="af1">
    <w:name w:val="Стиль По ширине"/>
    <w:basedOn w:val="a0"/>
    <w:rsid w:val="00D31004"/>
    <w:pPr>
      <w:tabs>
        <w:tab w:val="left" w:pos="709"/>
      </w:tabs>
      <w:suppressAutoHyphens/>
      <w:ind w:firstLine="709"/>
      <w:jc w:val="both"/>
    </w:pPr>
    <w:rPr>
      <w:szCs w:val="20"/>
    </w:rPr>
  </w:style>
  <w:style w:type="paragraph" w:customStyle="1" w:styleId="063061">
    <w:name w:val="Стиль По ширине Слева:  063 см Первая строка:  061 см"/>
    <w:basedOn w:val="a0"/>
    <w:rsid w:val="00D31004"/>
    <w:pPr>
      <w:suppressAutoHyphens/>
      <w:ind w:firstLine="709"/>
      <w:jc w:val="both"/>
    </w:pPr>
    <w:rPr>
      <w:szCs w:val="20"/>
    </w:rPr>
  </w:style>
  <w:style w:type="paragraph" w:styleId="af2">
    <w:name w:val="No Spacing"/>
    <w:uiPriority w:val="1"/>
    <w:qFormat/>
    <w:rsid w:val="00D106BD"/>
    <w:rPr>
      <w:rFonts w:eastAsia="Times New Roman"/>
    </w:rPr>
  </w:style>
  <w:style w:type="paragraph" w:customStyle="1" w:styleId="23">
    <w:name w:val="Основной текст2"/>
    <w:rsid w:val="00685294"/>
    <w:pPr>
      <w:ind w:firstLine="709"/>
      <w:jc w:val="both"/>
    </w:pPr>
    <w:rPr>
      <w:rFonts w:ascii="Times New Roman" w:eastAsia="Times New Roman" w:hAnsi="Times New Roman"/>
      <w:sz w:val="24"/>
      <w:szCs w:val="20"/>
    </w:rPr>
  </w:style>
  <w:style w:type="paragraph" w:customStyle="1" w:styleId="063">
    <w:name w:val="Стиль полужирный По центру Слева:  063 см"/>
    <w:basedOn w:val="a0"/>
    <w:rsid w:val="00685294"/>
    <w:pPr>
      <w:suppressAutoHyphens/>
      <w:ind w:firstLine="709"/>
      <w:jc w:val="center"/>
    </w:pPr>
    <w:rPr>
      <w:b/>
      <w:bCs/>
      <w:szCs w:val="20"/>
    </w:rPr>
  </w:style>
  <w:style w:type="paragraph" w:customStyle="1" w:styleId="11063">
    <w:name w:val="Стиль 11 пт полужирный По центру Слева:  063 см"/>
    <w:basedOn w:val="a0"/>
    <w:rsid w:val="00685294"/>
    <w:pPr>
      <w:suppressAutoHyphens/>
      <w:ind w:firstLine="709"/>
      <w:jc w:val="center"/>
    </w:pPr>
    <w:rPr>
      <w:b/>
      <w:bCs/>
      <w:sz w:val="22"/>
      <w:szCs w:val="20"/>
    </w:rPr>
  </w:style>
  <w:style w:type="paragraph" w:styleId="af3">
    <w:name w:val="Balloon Text"/>
    <w:basedOn w:val="a0"/>
    <w:link w:val="af4"/>
    <w:unhideWhenUsed/>
    <w:rsid w:val="00685294"/>
    <w:rPr>
      <w:rFonts w:ascii="Tahoma" w:hAnsi="Tahoma" w:cs="Tahoma"/>
      <w:sz w:val="16"/>
      <w:szCs w:val="16"/>
    </w:rPr>
  </w:style>
  <w:style w:type="character" w:customStyle="1" w:styleId="af4">
    <w:name w:val="Текст выноски Знак"/>
    <w:basedOn w:val="a1"/>
    <w:link w:val="af3"/>
    <w:rsid w:val="00685294"/>
    <w:rPr>
      <w:rFonts w:ascii="Tahoma" w:eastAsia="Times New Roman" w:hAnsi="Tahoma" w:cs="Tahoma"/>
      <w:sz w:val="16"/>
      <w:szCs w:val="16"/>
    </w:rPr>
  </w:style>
  <w:style w:type="paragraph" w:customStyle="1" w:styleId="12">
    <w:name w:val="Абзац списка1"/>
    <w:basedOn w:val="a0"/>
    <w:uiPriority w:val="34"/>
    <w:qFormat/>
    <w:rsid w:val="0042105E"/>
    <w:pPr>
      <w:tabs>
        <w:tab w:val="num" w:pos="765"/>
      </w:tabs>
      <w:suppressAutoHyphens/>
      <w:spacing w:after="200" w:line="276" w:lineRule="auto"/>
      <w:ind w:left="720" w:firstLine="709"/>
      <w:contextualSpacing/>
      <w:jc w:val="both"/>
    </w:pPr>
    <w:rPr>
      <w:rFonts w:ascii="Calibri" w:hAnsi="Calibri"/>
      <w:sz w:val="22"/>
      <w:szCs w:val="22"/>
    </w:rPr>
  </w:style>
  <w:style w:type="paragraph" w:customStyle="1" w:styleId="af5">
    <w:name w:val="Глава"/>
    <w:basedOn w:val="20"/>
    <w:link w:val="af6"/>
    <w:qFormat/>
    <w:rsid w:val="0042105E"/>
    <w:pPr>
      <w:keepNext/>
      <w:spacing w:before="240" w:beforeAutospacing="0" w:after="60" w:afterAutospacing="0"/>
      <w:jc w:val="both"/>
    </w:pPr>
    <w:rPr>
      <w:rFonts w:ascii="Arial" w:hAnsi="Arial" w:cs="Arial"/>
      <w:i/>
      <w:iCs/>
      <w:noProof/>
      <w:sz w:val="28"/>
      <w:szCs w:val="28"/>
    </w:rPr>
  </w:style>
  <w:style w:type="character" w:customStyle="1" w:styleId="af6">
    <w:name w:val="Глава Знак"/>
    <w:basedOn w:val="a1"/>
    <w:link w:val="af5"/>
    <w:rsid w:val="0042105E"/>
    <w:rPr>
      <w:rFonts w:ascii="Arial" w:eastAsia="Times New Roman" w:hAnsi="Arial" w:cs="Arial"/>
      <w:b/>
      <w:bCs/>
      <w:i/>
      <w:iCs/>
      <w:noProof/>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B832CA"/>
    <w:pPr>
      <w:spacing w:before="100" w:beforeAutospacing="1" w:after="100" w:afterAutospacing="1"/>
    </w:pPr>
    <w:rPr>
      <w:rFonts w:ascii="Tahoma" w:hAnsi="Tahoma"/>
      <w:sz w:val="20"/>
      <w:szCs w:val="20"/>
      <w:lang w:val="en-US" w:eastAsia="en-US"/>
    </w:rPr>
  </w:style>
  <w:style w:type="paragraph" w:styleId="af7">
    <w:name w:val="Body Text Indent"/>
    <w:basedOn w:val="a0"/>
    <w:link w:val="af8"/>
    <w:rsid w:val="00B832CA"/>
    <w:pPr>
      <w:ind w:firstLine="708"/>
      <w:jc w:val="both"/>
    </w:pPr>
    <w:rPr>
      <w:rFonts w:ascii="Arial" w:hAnsi="Arial" w:cs="Arial"/>
      <w:sz w:val="28"/>
    </w:rPr>
  </w:style>
  <w:style w:type="character" w:customStyle="1" w:styleId="af8">
    <w:name w:val="Основной текст с отступом Знак"/>
    <w:basedOn w:val="a1"/>
    <w:link w:val="af7"/>
    <w:rsid w:val="00B832CA"/>
    <w:rPr>
      <w:rFonts w:ascii="Arial" w:eastAsia="Times New Roman" w:hAnsi="Arial" w:cs="Arial"/>
      <w:sz w:val="28"/>
      <w:szCs w:val="24"/>
    </w:rPr>
  </w:style>
  <w:style w:type="paragraph" w:customStyle="1" w:styleId="Risunok">
    <w:name w:val="Risunok"/>
    <w:basedOn w:val="a0"/>
    <w:link w:val="Risunok0"/>
    <w:rsid w:val="00B832CA"/>
    <w:pPr>
      <w:keepLines/>
      <w:spacing w:after="180"/>
      <w:jc w:val="center"/>
    </w:pPr>
    <w:rPr>
      <w:sz w:val="20"/>
      <w:szCs w:val="20"/>
    </w:rPr>
  </w:style>
  <w:style w:type="character" w:customStyle="1" w:styleId="Risunok0">
    <w:name w:val="Risunok Знак"/>
    <w:link w:val="Risunok"/>
    <w:locked/>
    <w:rsid w:val="00B832CA"/>
    <w:rPr>
      <w:rFonts w:ascii="Times New Roman" w:eastAsia="Times New Roman" w:hAnsi="Times New Roman"/>
      <w:sz w:val="20"/>
      <w:szCs w:val="20"/>
    </w:rPr>
  </w:style>
  <w:style w:type="paragraph" w:styleId="24">
    <w:name w:val="Body Text 2"/>
    <w:basedOn w:val="a0"/>
    <w:link w:val="25"/>
    <w:rsid w:val="00B832CA"/>
    <w:pPr>
      <w:spacing w:after="120" w:line="480" w:lineRule="auto"/>
    </w:pPr>
  </w:style>
  <w:style w:type="character" w:customStyle="1" w:styleId="25">
    <w:name w:val="Основной текст 2 Знак"/>
    <w:basedOn w:val="a1"/>
    <w:link w:val="24"/>
    <w:rsid w:val="00B832CA"/>
    <w:rPr>
      <w:rFonts w:ascii="Times New Roman" w:eastAsia="Times New Roman" w:hAnsi="Times New Roman"/>
      <w:sz w:val="24"/>
      <w:szCs w:val="24"/>
    </w:rPr>
  </w:style>
  <w:style w:type="paragraph" w:customStyle="1" w:styleId="Default">
    <w:name w:val="Default"/>
    <w:rsid w:val="00B832CA"/>
    <w:pPr>
      <w:autoSpaceDE w:val="0"/>
      <w:autoSpaceDN w:val="0"/>
      <w:adjustRightInd w:val="0"/>
    </w:pPr>
    <w:rPr>
      <w:rFonts w:ascii="Times New Roman" w:eastAsia="Times New Roman" w:hAnsi="Times New Roman"/>
      <w:color w:val="000000"/>
      <w:sz w:val="24"/>
      <w:szCs w:val="24"/>
    </w:rPr>
  </w:style>
  <w:style w:type="character" w:styleId="af9">
    <w:name w:val="FollowedHyperlink"/>
    <w:basedOn w:val="a1"/>
    <w:unhideWhenUsed/>
    <w:rsid w:val="00D61869"/>
    <w:rPr>
      <w:color w:val="800080" w:themeColor="followedHyperlink"/>
      <w:u w:val="single"/>
    </w:rPr>
  </w:style>
  <w:style w:type="paragraph" w:styleId="13">
    <w:name w:val="index 1"/>
    <w:basedOn w:val="a0"/>
    <w:next w:val="a0"/>
    <w:autoRedefine/>
    <w:semiHidden/>
    <w:unhideWhenUsed/>
    <w:rsid w:val="00D61869"/>
    <w:pPr>
      <w:ind w:left="220" w:hanging="220"/>
    </w:pPr>
    <w:rPr>
      <w:rFonts w:ascii="Calibri" w:eastAsia="Calibri" w:hAnsi="Calibri"/>
      <w:sz w:val="22"/>
      <w:szCs w:val="22"/>
      <w:lang w:eastAsia="en-US"/>
    </w:rPr>
  </w:style>
  <w:style w:type="paragraph" w:styleId="afa">
    <w:name w:val="annotation text"/>
    <w:basedOn w:val="a0"/>
    <w:link w:val="14"/>
    <w:semiHidden/>
    <w:unhideWhenUsed/>
    <w:rsid w:val="00D61869"/>
    <w:pPr>
      <w:suppressAutoHyphens/>
      <w:overflowPunct w:val="0"/>
      <w:autoSpaceDE w:val="0"/>
      <w:autoSpaceDN w:val="0"/>
      <w:adjustRightInd w:val="0"/>
      <w:ind w:firstLine="709"/>
      <w:jc w:val="both"/>
    </w:pPr>
    <w:rPr>
      <w:sz w:val="20"/>
      <w:szCs w:val="20"/>
    </w:rPr>
  </w:style>
  <w:style w:type="character" w:customStyle="1" w:styleId="14">
    <w:name w:val="Текст примечания Знак1"/>
    <w:basedOn w:val="a1"/>
    <w:link w:val="afa"/>
    <w:locked/>
    <w:rsid w:val="00D61869"/>
    <w:rPr>
      <w:rFonts w:ascii="Times New Roman" w:eastAsia="Times New Roman" w:hAnsi="Times New Roman"/>
      <w:sz w:val="20"/>
      <w:szCs w:val="20"/>
    </w:rPr>
  </w:style>
  <w:style w:type="character" w:customStyle="1" w:styleId="afb">
    <w:name w:val="Текст примечания Знак"/>
    <w:basedOn w:val="a1"/>
    <w:rsid w:val="00D61869"/>
    <w:rPr>
      <w:rFonts w:ascii="Times New Roman" w:eastAsia="Times New Roman" w:hAnsi="Times New Roman"/>
      <w:sz w:val="20"/>
      <w:szCs w:val="20"/>
    </w:rPr>
  </w:style>
  <w:style w:type="character" w:customStyle="1" w:styleId="15">
    <w:name w:val="Верхний колонтитул Знак1"/>
    <w:aliases w:val="ВерхКолонтитул Знак1"/>
    <w:basedOn w:val="a1"/>
    <w:semiHidden/>
    <w:rsid w:val="00D61869"/>
    <w:rPr>
      <w:lang w:eastAsia="en-US"/>
    </w:rPr>
  </w:style>
  <w:style w:type="paragraph" w:styleId="afc">
    <w:name w:val="Title"/>
    <w:basedOn w:val="a0"/>
    <w:link w:val="afd"/>
    <w:qFormat/>
    <w:locked/>
    <w:rsid w:val="00D61869"/>
    <w:pPr>
      <w:jc w:val="center"/>
    </w:pPr>
    <w:rPr>
      <w:b/>
      <w:bCs/>
      <w:sz w:val="28"/>
      <w:szCs w:val="28"/>
    </w:rPr>
  </w:style>
  <w:style w:type="character" w:customStyle="1" w:styleId="afd">
    <w:name w:val="Название Знак"/>
    <w:basedOn w:val="a1"/>
    <w:link w:val="afc"/>
    <w:rsid w:val="00D61869"/>
    <w:rPr>
      <w:rFonts w:ascii="Times New Roman" w:eastAsia="Times New Roman" w:hAnsi="Times New Roman"/>
      <w:b/>
      <w:bCs/>
      <w:sz w:val="28"/>
      <w:szCs w:val="28"/>
    </w:rPr>
  </w:style>
  <w:style w:type="character" w:customStyle="1" w:styleId="16">
    <w:name w:val="Основной текст Знак1"/>
    <w:aliases w:val="Основной Знак1,Основной текст1 Знак1,bt Знак1,Основной текст Знак Знак Знак Знак Знак1"/>
    <w:basedOn w:val="a1"/>
    <w:locked/>
    <w:rsid w:val="00D61869"/>
    <w:rPr>
      <w:rFonts w:ascii="Times New Roman" w:eastAsia="Times New Roman" w:hAnsi="Times New Roman"/>
      <w:sz w:val="24"/>
      <w:szCs w:val="24"/>
    </w:rPr>
  </w:style>
  <w:style w:type="paragraph" w:styleId="afe">
    <w:name w:val="Subtitle"/>
    <w:basedOn w:val="a0"/>
    <w:link w:val="aff"/>
    <w:qFormat/>
    <w:locked/>
    <w:rsid w:val="00D61869"/>
    <w:pPr>
      <w:jc w:val="center"/>
    </w:pPr>
    <w:rPr>
      <w:b/>
      <w:bCs/>
    </w:rPr>
  </w:style>
  <w:style w:type="character" w:customStyle="1" w:styleId="aff">
    <w:name w:val="Подзаголовок Знак"/>
    <w:basedOn w:val="a1"/>
    <w:link w:val="afe"/>
    <w:rsid w:val="00D61869"/>
    <w:rPr>
      <w:rFonts w:ascii="Times New Roman" w:eastAsia="Times New Roman" w:hAnsi="Times New Roman"/>
      <w:b/>
      <w:bCs/>
      <w:sz w:val="24"/>
      <w:szCs w:val="24"/>
    </w:rPr>
  </w:style>
  <w:style w:type="paragraph" w:styleId="33">
    <w:name w:val="Body Text 3"/>
    <w:basedOn w:val="a0"/>
    <w:link w:val="310"/>
    <w:unhideWhenUsed/>
    <w:rsid w:val="00D61869"/>
    <w:pPr>
      <w:suppressAutoHyphens/>
      <w:spacing w:after="120"/>
      <w:ind w:firstLine="709"/>
      <w:jc w:val="both"/>
    </w:pPr>
    <w:rPr>
      <w:sz w:val="16"/>
      <w:szCs w:val="16"/>
    </w:rPr>
  </w:style>
  <w:style w:type="character" w:customStyle="1" w:styleId="310">
    <w:name w:val="Основной текст 3 Знак1"/>
    <w:basedOn w:val="a1"/>
    <w:link w:val="33"/>
    <w:semiHidden/>
    <w:locked/>
    <w:rsid w:val="00D61869"/>
    <w:rPr>
      <w:rFonts w:ascii="Times New Roman" w:eastAsia="Times New Roman" w:hAnsi="Times New Roman"/>
      <w:sz w:val="16"/>
      <w:szCs w:val="16"/>
    </w:rPr>
  </w:style>
  <w:style w:type="character" w:customStyle="1" w:styleId="34">
    <w:name w:val="Основной текст 3 Знак"/>
    <w:basedOn w:val="a1"/>
    <w:rsid w:val="00D61869"/>
    <w:rPr>
      <w:rFonts w:ascii="Times New Roman" w:eastAsia="Times New Roman" w:hAnsi="Times New Roman"/>
      <w:sz w:val="16"/>
      <w:szCs w:val="16"/>
    </w:rPr>
  </w:style>
  <w:style w:type="paragraph" w:styleId="2">
    <w:name w:val="Body Text Indent 2"/>
    <w:basedOn w:val="a0"/>
    <w:link w:val="21"/>
    <w:unhideWhenUsed/>
    <w:rsid w:val="00D61869"/>
    <w:pPr>
      <w:spacing w:after="120" w:line="480" w:lineRule="auto"/>
      <w:ind w:left="283"/>
    </w:pPr>
    <w:rPr>
      <w:rFonts w:ascii="Calibri" w:eastAsia="Calibri" w:hAnsi="Calibri"/>
      <w:sz w:val="22"/>
      <w:szCs w:val="22"/>
      <w:lang w:eastAsia="en-US"/>
    </w:rPr>
  </w:style>
  <w:style w:type="character" w:customStyle="1" w:styleId="21">
    <w:name w:val="Основной текст с отступом 2 Знак1"/>
    <w:basedOn w:val="a1"/>
    <w:link w:val="2"/>
    <w:semiHidden/>
    <w:locked/>
    <w:rsid w:val="00D61869"/>
    <w:rPr>
      <w:lang w:eastAsia="en-US"/>
    </w:rPr>
  </w:style>
  <w:style w:type="character" w:customStyle="1" w:styleId="26">
    <w:name w:val="Основной текст с отступом 2 Знак"/>
    <w:basedOn w:val="a1"/>
    <w:rsid w:val="00D61869"/>
    <w:rPr>
      <w:rFonts w:ascii="Times New Roman" w:eastAsia="Times New Roman" w:hAnsi="Times New Roman"/>
      <w:sz w:val="24"/>
      <w:szCs w:val="24"/>
    </w:rPr>
  </w:style>
  <w:style w:type="paragraph" w:customStyle="1" w:styleId="xl34">
    <w:name w:val="xl34"/>
    <w:basedOn w:val="a0"/>
    <w:uiPriority w:val="34"/>
    <w:qFormat/>
    <w:rsid w:val="00D61869"/>
    <w:pPr>
      <w:pBdr>
        <w:left w:val="single" w:sz="8" w:space="0" w:color="auto"/>
        <w:right w:val="single" w:sz="8" w:space="0" w:color="auto"/>
      </w:pBdr>
      <w:spacing w:before="100" w:beforeAutospacing="1" w:after="100" w:afterAutospacing="1"/>
      <w:jc w:val="center"/>
    </w:pPr>
    <w:rPr>
      <w:rFonts w:ascii="Arial Unicode MS" w:eastAsia="Arial Unicode MS" w:hAnsi="Arial Unicode MS"/>
    </w:rPr>
  </w:style>
  <w:style w:type="paragraph" w:customStyle="1" w:styleId="210">
    <w:name w:val="Основной текст 21"/>
    <w:basedOn w:val="a0"/>
    <w:rsid w:val="00D61869"/>
    <w:pPr>
      <w:overflowPunct w:val="0"/>
      <w:autoSpaceDE w:val="0"/>
      <w:autoSpaceDN w:val="0"/>
      <w:adjustRightInd w:val="0"/>
      <w:ind w:firstLine="708"/>
      <w:jc w:val="both"/>
    </w:pPr>
    <w:rPr>
      <w:szCs w:val="20"/>
    </w:rPr>
  </w:style>
  <w:style w:type="paragraph" w:customStyle="1" w:styleId="130">
    <w:name w:val="Ольга13"/>
    <w:uiPriority w:val="34"/>
    <w:qFormat/>
    <w:rsid w:val="00D61869"/>
    <w:pPr>
      <w:overflowPunct w:val="0"/>
      <w:autoSpaceDE w:val="0"/>
      <w:autoSpaceDN w:val="0"/>
      <w:adjustRightInd w:val="0"/>
      <w:spacing w:line="360" w:lineRule="auto"/>
    </w:pPr>
    <w:rPr>
      <w:rFonts w:ascii="Times New Roman" w:eastAsia="Times New Roman" w:hAnsi="Times New Roman"/>
      <w:sz w:val="26"/>
      <w:szCs w:val="20"/>
    </w:rPr>
  </w:style>
  <w:style w:type="paragraph" w:customStyle="1" w:styleId="caaieiaie8">
    <w:name w:val="caaieiaie 8"/>
    <w:basedOn w:val="a0"/>
    <w:next w:val="a0"/>
    <w:rsid w:val="00D61869"/>
    <w:pPr>
      <w:keepNext/>
      <w:widowControl w:val="0"/>
      <w:ind w:firstLine="720"/>
      <w:jc w:val="both"/>
    </w:pPr>
  </w:style>
  <w:style w:type="paragraph" w:customStyle="1" w:styleId="aff0">
    <w:name w:val="*Обычный текст"/>
    <w:basedOn w:val="a0"/>
    <w:rsid w:val="00D61869"/>
    <w:pPr>
      <w:overflowPunct w:val="0"/>
      <w:autoSpaceDE w:val="0"/>
      <w:autoSpaceDN w:val="0"/>
      <w:adjustRightInd w:val="0"/>
      <w:spacing w:line="360" w:lineRule="auto"/>
      <w:ind w:firstLine="567"/>
      <w:jc w:val="both"/>
    </w:pPr>
    <w:rPr>
      <w:szCs w:val="20"/>
    </w:rPr>
  </w:style>
  <w:style w:type="paragraph" w:customStyle="1" w:styleId="TablCenter">
    <w:name w:val="Tabl_Center"/>
    <w:basedOn w:val="a0"/>
    <w:rsid w:val="00D61869"/>
    <w:pPr>
      <w:keepLines/>
      <w:suppressAutoHyphens/>
      <w:spacing w:before="20" w:after="20" w:line="216" w:lineRule="auto"/>
      <w:ind w:firstLine="709"/>
      <w:jc w:val="center"/>
    </w:pPr>
    <w:rPr>
      <w:sz w:val="22"/>
      <w:szCs w:val="20"/>
    </w:rPr>
  </w:style>
  <w:style w:type="paragraph" w:customStyle="1" w:styleId="Zagolovoktabl">
    <w:name w:val="Zagolovok tabl"/>
    <w:basedOn w:val="a0"/>
    <w:rsid w:val="00D61869"/>
    <w:pPr>
      <w:keepNext/>
      <w:suppressAutoHyphens/>
      <w:spacing w:before="60" w:after="120"/>
      <w:ind w:firstLine="709"/>
      <w:jc w:val="center"/>
    </w:pPr>
    <w:rPr>
      <w:b/>
      <w:sz w:val="22"/>
      <w:szCs w:val="20"/>
    </w:rPr>
  </w:style>
  <w:style w:type="paragraph" w:customStyle="1" w:styleId="Tablleft">
    <w:name w:val="Tabl_left"/>
    <w:basedOn w:val="TablCenter"/>
    <w:rsid w:val="00D61869"/>
    <w:pPr>
      <w:numPr>
        <w:numId w:val="3"/>
      </w:numPr>
      <w:ind w:left="0" w:firstLine="0"/>
      <w:jc w:val="left"/>
    </w:pPr>
  </w:style>
  <w:style w:type="paragraph" w:customStyle="1" w:styleId="Spisokn">
    <w:name w:val="Spisok_n"/>
    <w:basedOn w:val="a0"/>
    <w:rsid w:val="00D61869"/>
    <w:pPr>
      <w:numPr>
        <w:numId w:val="4"/>
      </w:numPr>
      <w:tabs>
        <w:tab w:val="clear" w:pos="765"/>
        <w:tab w:val="num" w:pos="993"/>
      </w:tabs>
      <w:suppressAutoHyphens/>
      <w:ind w:left="0" w:firstLine="709"/>
      <w:jc w:val="both"/>
    </w:pPr>
    <w:rPr>
      <w:szCs w:val="20"/>
    </w:rPr>
  </w:style>
  <w:style w:type="character" w:customStyle="1" w:styleId="3TimesNewRoman12">
    <w:name w:val="Стиль Заголовок 3 + Times New Roman 12 пт По центру Первая строк... Знак"/>
    <w:basedOn w:val="a1"/>
    <w:link w:val="3TimesNewRoman120"/>
    <w:locked/>
    <w:rsid w:val="00D61869"/>
    <w:rPr>
      <w:b/>
      <w:bCs/>
      <w:noProof/>
      <w:sz w:val="24"/>
    </w:rPr>
  </w:style>
  <w:style w:type="paragraph" w:customStyle="1" w:styleId="3TimesNewRoman120">
    <w:name w:val="Стиль Заголовок 3 + Times New Roman 12 пт По центру Первая строк..."/>
    <w:basedOn w:val="3"/>
    <w:link w:val="3TimesNewRoman12"/>
    <w:rsid w:val="00D61869"/>
    <w:pPr>
      <w:suppressAutoHyphens/>
      <w:ind w:firstLine="540"/>
      <w:jc w:val="center"/>
    </w:pPr>
    <w:rPr>
      <w:rFonts w:ascii="Calibri" w:eastAsia="Calibri" w:hAnsi="Calibri" w:cs="Times New Roman"/>
      <w:noProof/>
      <w:sz w:val="24"/>
      <w:szCs w:val="22"/>
    </w:rPr>
  </w:style>
  <w:style w:type="paragraph" w:customStyle="1" w:styleId="msonormalcxspmiddle">
    <w:name w:val="msonormalcxspmiddle"/>
    <w:basedOn w:val="a0"/>
    <w:rsid w:val="00D61869"/>
    <w:pPr>
      <w:suppressAutoHyphens/>
      <w:spacing w:before="100" w:beforeAutospacing="1" w:after="100" w:afterAutospacing="1"/>
      <w:ind w:firstLine="709"/>
      <w:jc w:val="both"/>
    </w:pPr>
  </w:style>
  <w:style w:type="paragraph" w:customStyle="1" w:styleId="aff1">
    <w:name w:val="Госдоклад"/>
    <w:basedOn w:val="a0"/>
    <w:rsid w:val="00D61869"/>
    <w:pPr>
      <w:suppressAutoHyphens/>
      <w:ind w:firstLine="709"/>
      <w:jc w:val="both"/>
    </w:pPr>
  </w:style>
  <w:style w:type="paragraph" w:customStyle="1" w:styleId="msonormalcxspmiddlecxspmiddle">
    <w:name w:val="msonormalcxspmiddlecxspmiddle"/>
    <w:basedOn w:val="a0"/>
    <w:rsid w:val="00D61869"/>
    <w:pPr>
      <w:suppressAutoHyphens/>
      <w:spacing w:before="100" w:beforeAutospacing="1" w:after="100" w:afterAutospacing="1"/>
      <w:ind w:firstLine="709"/>
      <w:jc w:val="both"/>
    </w:pPr>
  </w:style>
  <w:style w:type="paragraph" w:customStyle="1" w:styleId="msonormalcxspmiddlecxsplast">
    <w:name w:val="msonormalcxspmiddlecxsplast"/>
    <w:basedOn w:val="a0"/>
    <w:rsid w:val="00D61869"/>
    <w:pPr>
      <w:suppressAutoHyphens/>
      <w:spacing w:before="100" w:beforeAutospacing="1" w:after="100" w:afterAutospacing="1"/>
      <w:ind w:firstLine="709"/>
      <w:jc w:val="both"/>
    </w:pPr>
  </w:style>
  <w:style w:type="paragraph" w:customStyle="1" w:styleId="110111">
    <w:name w:val="Стиль 11 пт Слева:  01 см Перед:  1 пт После:  1 пт"/>
    <w:basedOn w:val="a0"/>
    <w:rsid w:val="00D61869"/>
    <w:pPr>
      <w:suppressAutoHyphens/>
      <w:spacing w:before="20" w:after="20"/>
      <w:ind w:left="57"/>
      <w:jc w:val="both"/>
    </w:pPr>
    <w:rPr>
      <w:sz w:val="22"/>
      <w:szCs w:val="20"/>
    </w:rPr>
  </w:style>
  <w:style w:type="paragraph" w:customStyle="1" w:styleId="0630">
    <w:name w:val="Стиль По правому краю Слева:  063 см"/>
    <w:basedOn w:val="a0"/>
    <w:rsid w:val="00D61869"/>
    <w:pPr>
      <w:suppressAutoHyphens/>
      <w:ind w:firstLine="709"/>
      <w:jc w:val="right"/>
    </w:pPr>
    <w:rPr>
      <w:szCs w:val="20"/>
    </w:rPr>
  </w:style>
  <w:style w:type="paragraph" w:customStyle="1" w:styleId="0631">
    <w:name w:val="Стиль Слева:  063 см"/>
    <w:basedOn w:val="a0"/>
    <w:rsid w:val="00D61869"/>
    <w:pPr>
      <w:suppressAutoHyphens/>
      <w:ind w:firstLine="709"/>
      <w:jc w:val="both"/>
    </w:pPr>
    <w:rPr>
      <w:szCs w:val="20"/>
    </w:rPr>
  </w:style>
  <w:style w:type="paragraph" w:customStyle="1" w:styleId="1111">
    <w:name w:val="Стиль 11 пт Перед:  1 пт После:  1 пт"/>
    <w:basedOn w:val="a0"/>
    <w:rsid w:val="00D61869"/>
    <w:pPr>
      <w:suppressAutoHyphens/>
      <w:spacing w:before="20" w:after="20"/>
      <w:jc w:val="both"/>
    </w:pPr>
    <w:rPr>
      <w:sz w:val="22"/>
      <w:szCs w:val="20"/>
    </w:rPr>
  </w:style>
  <w:style w:type="paragraph" w:customStyle="1" w:styleId="211">
    <w:name w:val="Основной текст с отступом 21"/>
    <w:basedOn w:val="a0"/>
    <w:rsid w:val="00D61869"/>
    <w:pPr>
      <w:suppressAutoHyphens/>
      <w:ind w:firstLine="705"/>
      <w:jc w:val="both"/>
    </w:pPr>
    <w:rPr>
      <w:sz w:val="28"/>
      <w:lang w:eastAsia="ar-SA"/>
    </w:rPr>
  </w:style>
  <w:style w:type="paragraph" w:customStyle="1" w:styleId="35">
    <w:name w:val="Знак3 Знак Знак Знак"/>
    <w:basedOn w:val="a0"/>
    <w:rsid w:val="00D61869"/>
    <w:pPr>
      <w:spacing w:after="160" w:line="240" w:lineRule="exact"/>
    </w:pPr>
    <w:rPr>
      <w:rFonts w:ascii="Verdana" w:hAnsi="Verdana"/>
      <w:sz w:val="20"/>
      <w:szCs w:val="20"/>
      <w:lang w:val="en-US" w:eastAsia="en-US"/>
    </w:rPr>
  </w:style>
  <w:style w:type="paragraph" w:customStyle="1" w:styleId="311">
    <w:name w:val="Основной текст с отступом 31"/>
    <w:basedOn w:val="a0"/>
    <w:rsid w:val="00D61869"/>
    <w:pPr>
      <w:suppressAutoHyphens/>
      <w:overflowPunct w:val="0"/>
      <w:autoSpaceDE w:val="0"/>
      <w:ind w:firstLine="720"/>
      <w:jc w:val="both"/>
    </w:pPr>
    <w:rPr>
      <w:color w:val="000080"/>
      <w:lang w:eastAsia="ar-SA"/>
    </w:rPr>
  </w:style>
  <w:style w:type="paragraph" w:customStyle="1" w:styleId="27">
    <w:name w:val="Абзац списка2"/>
    <w:basedOn w:val="a0"/>
    <w:rsid w:val="00D61869"/>
    <w:pPr>
      <w:tabs>
        <w:tab w:val="num" w:pos="765"/>
      </w:tabs>
      <w:spacing w:after="200" w:line="276" w:lineRule="auto"/>
      <w:ind w:left="720"/>
      <w:contextualSpacing/>
    </w:pPr>
    <w:rPr>
      <w:rFonts w:ascii="Calibri" w:hAnsi="Calibri"/>
      <w:sz w:val="22"/>
      <w:szCs w:val="22"/>
    </w:rPr>
  </w:style>
  <w:style w:type="character" w:customStyle="1" w:styleId="17">
    <w:name w:val="Нижний колонтитул Знак1"/>
    <w:basedOn w:val="a1"/>
    <w:semiHidden/>
    <w:locked/>
    <w:rsid w:val="00D61869"/>
    <w:rPr>
      <w:lang w:eastAsia="en-US"/>
    </w:rPr>
  </w:style>
  <w:style w:type="character" w:customStyle="1" w:styleId="18">
    <w:name w:val="Основной текст с отступом Знак1"/>
    <w:basedOn w:val="a1"/>
    <w:locked/>
    <w:rsid w:val="00D61869"/>
    <w:rPr>
      <w:lang w:eastAsia="en-US"/>
    </w:rPr>
  </w:style>
  <w:style w:type="character" w:customStyle="1" w:styleId="212">
    <w:name w:val="Основной текст 2 Знак1"/>
    <w:basedOn w:val="a1"/>
    <w:locked/>
    <w:rsid w:val="00D61869"/>
    <w:rPr>
      <w:lang w:eastAsia="en-US"/>
    </w:rPr>
  </w:style>
  <w:style w:type="character" w:customStyle="1" w:styleId="312">
    <w:name w:val="Основной текст с отступом 3 Знак1"/>
    <w:basedOn w:val="a1"/>
    <w:semiHidden/>
    <w:locked/>
    <w:rsid w:val="00D61869"/>
    <w:rPr>
      <w:sz w:val="16"/>
      <w:szCs w:val="16"/>
      <w:lang w:eastAsia="en-US"/>
    </w:rPr>
  </w:style>
  <w:style w:type="character" w:customStyle="1" w:styleId="apple-converted-space">
    <w:name w:val="apple-converted-space"/>
    <w:basedOn w:val="a1"/>
    <w:rsid w:val="00D61869"/>
  </w:style>
  <w:style w:type="table" w:styleId="aff2">
    <w:name w:val="Table Grid"/>
    <w:basedOn w:val="a2"/>
    <w:locked/>
    <w:rsid w:val="00D61869"/>
    <w:rPr>
      <w:rFonts w:ascii="Times New Roman" w:eastAsia="Times New Roman" w:hAnsi="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3">
    <w:name w:val="Заголовок 3 Знак1"/>
    <w:basedOn w:val="a1"/>
    <w:locked/>
    <w:rsid w:val="005D2F29"/>
    <w:rPr>
      <w:rFonts w:ascii="Arial" w:hAnsi="Arial" w:cs="Arial"/>
      <w:b/>
      <w:bCs/>
      <w:noProof/>
      <w:sz w:val="26"/>
      <w:szCs w:val="26"/>
      <w:lang w:eastAsia="ru-RU"/>
    </w:rPr>
  </w:style>
  <w:style w:type="paragraph" w:styleId="91">
    <w:name w:val="toc 9"/>
    <w:basedOn w:val="a0"/>
    <w:next w:val="a0"/>
    <w:autoRedefine/>
    <w:locked/>
    <w:rsid w:val="005D2F29"/>
    <w:pPr>
      <w:ind w:left="1920"/>
      <w:jc w:val="both"/>
    </w:pPr>
    <w:rPr>
      <w:rFonts w:eastAsia="Calibri"/>
      <w:noProof/>
    </w:rPr>
  </w:style>
  <w:style w:type="paragraph" w:styleId="81">
    <w:name w:val="toc 8"/>
    <w:basedOn w:val="a0"/>
    <w:next w:val="a0"/>
    <w:autoRedefine/>
    <w:locked/>
    <w:rsid w:val="005D2F29"/>
    <w:pPr>
      <w:ind w:left="1680"/>
      <w:jc w:val="both"/>
    </w:pPr>
    <w:rPr>
      <w:rFonts w:eastAsia="Calibri"/>
      <w:noProof/>
    </w:rPr>
  </w:style>
  <w:style w:type="paragraph" w:styleId="71">
    <w:name w:val="toc 7"/>
    <w:basedOn w:val="a0"/>
    <w:next w:val="a0"/>
    <w:autoRedefine/>
    <w:locked/>
    <w:rsid w:val="005D2F29"/>
    <w:pPr>
      <w:ind w:left="1440"/>
      <w:jc w:val="both"/>
    </w:pPr>
    <w:rPr>
      <w:rFonts w:eastAsia="Calibri"/>
      <w:noProof/>
    </w:rPr>
  </w:style>
  <w:style w:type="paragraph" w:styleId="61">
    <w:name w:val="toc 6"/>
    <w:basedOn w:val="a0"/>
    <w:next w:val="a0"/>
    <w:autoRedefine/>
    <w:locked/>
    <w:rsid w:val="005D2F29"/>
    <w:pPr>
      <w:ind w:left="1200"/>
      <w:jc w:val="both"/>
    </w:pPr>
    <w:rPr>
      <w:rFonts w:eastAsia="Calibri"/>
      <w:noProof/>
    </w:rPr>
  </w:style>
  <w:style w:type="paragraph" w:styleId="51">
    <w:name w:val="toc 5"/>
    <w:basedOn w:val="a0"/>
    <w:next w:val="a0"/>
    <w:autoRedefine/>
    <w:locked/>
    <w:rsid w:val="005D2F29"/>
    <w:pPr>
      <w:ind w:left="960"/>
      <w:jc w:val="both"/>
    </w:pPr>
    <w:rPr>
      <w:rFonts w:eastAsia="Calibri"/>
      <w:noProof/>
    </w:rPr>
  </w:style>
  <w:style w:type="paragraph" w:styleId="41">
    <w:name w:val="toc 4"/>
    <w:basedOn w:val="a0"/>
    <w:next w:val="a0"/>
    <w:autoRedefine/>
    <w:locked/>
    <w:rsid w:val="005D2F29"/>
    <w:pPr>
      <w:ind w:left="720"/>
      <w:jc w:val="both"/>
    </w:pPr>
    <w:rPr>
      <w:rFonts w:eastAsia="Calibri"/>
      <w:noProof/>
    </w:rPr>
  </w:style>
  <w:style w:type="paragraph" w:styleId="36">
    <w:name w:val="toc 3"/>
    <w:basedOn w:val="a0"/>
    <w:next w:val="a0"/>
    <w:autoRedefine/>
    <w:uiPriority w:val="39"/>
    <w:locked/>
    <w:rsid w:val="005D2F29"/>
    <w:pPr>
      <w:ind w:left="480"/>
      <w:jc w:val="both"/>
    </w:pPr>
    <w:rPr>
      <w:rFonts w:eastAsia="Calibri"/>
      <w:noProof/>
    </w:rPr>
  </w:style>
  <w:style w:type="paragraph" w:styleId="28">
    <w:name w:val="toc 2"/>
    <w:basedOn w:val="a0"/>
    <w:next w:val="a0"/>
    <w:autoRedefine/>
    <w:uiPriority w:val="39"/>
    <w:locked/>
    <w:rsid w:val="005D2F29"/>
    <w:pPr>
      <w:ind w:left="240"/>
      <w:jc w:val="both"/>
    </w:pPr>
    <w:rPr>
      <w:rFonts w:eastAsia="Calibri"/>
      <w:b/>
      <w:bCs/>
      <w:i/>
      <w:iCs/>
      <w:smallCaps/>
      <w:noProof/>
    </w:rPr>
  </w:style>
  <w:style w:type="paragraph" w:styleId="19">
    <w:name w:val="toc 1"/>
    <w:basedOn w:val="a0"/>
    <w:next w:val="a0"/>
    <w:autoRedefine/>
    <w:uiPriority w:val="39"/>
    <w:locked/>
    <w:rsid w:val="005D2F29"/>
    <w:pPr>
      <w:spacing w:before="120" w:after="120"/>
      <w:jc w:val="both"/>
    </w:pPr>
    <w:rPr>
      <w:rFonts w:eastAsia="Calibri"/>
      <w:b/>
      <w:bCs/>
      <w:caps/>
      <w:noProof/>
    </w:rPr>
  </w:style>
  <w:style w:type="paragraph" w:customStyle="1" w:styleId="Annottext">
    <w:name w:val="Annot_text"/>
    <w:basedOn w:val="a0"/>
    <w:rsid w:val="005D2F29"/>
    <w:pPr>
      <w:ind w:left="284" w:right="284" w:firstLine="283"/>
      <w:jc w:val="both"/>
    </w:pPr>
    <w:rPr>
      <w:rFonts w:eastAsia="Calibri"/>
      <w:noProof/>
      <w:sz w:val="16"/>
      <w:szCs w:val="16"/>
    </w:rPr>
  </w:style>
  <w:style w:type="character" w:customStyle="1" w:styleId="TitleChar">
    <w:name w:val="Title Char"/>
    <w:basedOn w:val="a1"/>
    <w:locked/>
    <w:rsid w:val="005D2F29"/>
    <w:rPr>
      <w:rFonts w:cs="Times New Roman"/>
      <w:b/>
      <w:bCs/>
      <w:sz w:val="28"/>
      <w:szCs w:val="28"/>
      <w:lang w:val="ru-RU" w:eastAsia="ru-RU" w:bidi="ar-SA"/>
    </w:rPr>
  </w:style>
  <w:style w:type="paragraph" w:customStyle="1" w:styleId="aff3">
    <w:name w:val="Îáû÷íûé"/>
    <w:rsid w:val="005D2F29"/>
    <w:pPr>
      <w:widowControl w:val="0"/>
      <w:jc w:val="both"/>
    </w:pPr>
    <w:rPr>
      <w:rFonts w:ascii="Times New Roman" w:hAnsi="Times New Roman"/>
      <w:sz w:val="20"/>
      <w:szCs w:val="20"/>
    </w:rPr>
  </w:style>
  <w:style w:type="paragraph" w:customStyle="1" w:styleId="Ieuaa13">
    <w:name w:val="Ieuaa13"/>
    <w:rsid w:val="005D2F29"/>
    <w:pPr>
      <w:overflowPunct w:val="0"/>
      <w:autoSpaceDE w:val="0"/>
      <w:autoSpaceDN w:val="0"/>
      <w:adjustRightInd w:val="0"/>
      <w:spacing w:line="360" w:lineRule="auto"/>
      <w:jc w:val="both"/>
      <w:textAlignment w:val="baseline"/>
    </w:pPr>
    <w:rPr>
      <w:rFonts w:ascii="Times New Roman" w:hAnsi="Times New Roman"/>
      <w:sz w:val="26"/>
      <w:szCs w:val="26"/>
    </w:rPr>
  </w:style>
  <w:style w:type="character" w:customStyle="1" w:styleId="aff4">
    <w:name w:val="Текст сноски Знак"/>
    <w:basedOn w:val="a1"/>
    <w:link w:val="aff5"/>
    <w:semiHidden/>
    <w:rsid w:val="005D2F29"/>
    <w:rPr>
      <w:rFonts w:ascii="Times New Roman" w:hAnsi="Times New Roman"/>
      <w:noProof/>
      <w:sz w:val="20"/>
      <w:szCs w:val="20"/>
    </w:rPr>
  </w:style>
  <w:style w:type="paragraph" w:styleId="aff5">
    <w:name w:val="footnote text"/>
    <w:basedOn w:val="a0"/>
    <w:link w:val="aff4"/>
    <w:semiHidden/>
    <w:rsid w:val="005D2F29"/>
    <w:pPr>
      <w:overflowPunct w:val="0"/>
      <w:autoSpaceDE w:val="0"/>
      <w:autoSpaceDN w:val="0"/>
      <w:adjustRightInd w:val="0"/>
      <w:jc w:val="both"/>
      <w:textAlignment w:val="baseline"/>
    </w:pPr>
    <w:rPr>
      <w:rFonts w:eastAsia="Calibri"/>
      <w:noProof/>
      <w:sz w:val="20"/>
      <w:szCs w:val="20"/>
    </w:rPr>
  </w:style>
  <w:style w:type="character" w:styleId="aff6">
    <w:name w:val="page number"/>
    <w:basedOn w:val="a1"/>
    <w:rsid w:val="005D2F29"/>
    <w:rPr>
      <w:rFonts w:cs="Times New Roman"/>
    </w:rPr>
  </w:style>
  <w:style w:type="paragraph" w:styleId="aff7">
    <w:name w:val="caption"/>
    <w:basedOn w:val="a0"/>
    <w:next w:val="a0"/>
    <w:qFormat/>
    <w:locked/>
    <w:rsid w:val="005D2F29"/>
    <w:pPr>
      <w:spacing w:line="360" w:lineRule="auto"/>
      <w:ind w:firstLine="708"/>
      <w:jc w:val="center"/>
    </w:pPr>
    <w:rPr>
      <w:rFonts w:ascii="Arial" w:eastAsia="Calibri" w:hAnsi="Arial" w:cs="Arial"/>
      <w:b/>
      <w:bCs/>
      <w:noProof/>
    </w:rPr>
  </w:style>
  <w:style w:type="paragraph" w:customStyle="1" w:styleId="aff8">
    <w:name w:val="ﾃⅲ蒡・琅"/>
    <w:basedOn w:val="a0"/>
    <w:rsid w:val="005D2F29"/>
    <w:pPr>
      <w:autoSpaceDE w:val="0"/>
      <w:autoSpaceDN w:val="0"/>
      <w:adjustRightInd w:val="0"/>
      <w:jc w:val="both"/>
    </w:pPr>
    <w:rPr>
      <w:rFonts w:eastAsia="Calibri"/>
      <w:noProof/>
    </w:rPr>
  </w:style>
  <w:style w:type="paragraph" w:customStyle="1" w:styleId="ConsNonformat">
    <w:name w:val="ConsNonformat"/>
    <w:rsid w:val="005D2F29"/>
    <w:pPr>
      <w:widowControl w:val="0"/>
      <w:autoSpaceDE w:val="0"/>
      <w:autoSpaceDN w:val="0"/>
      <w:adjustRightInd w:val="0"/>
      <w:jc w:val="both"/>
    </w:pPr>
    <w:rPr>
      <w:rFonts w:ascii="Courier New" w:hAnsi="Courier New" w:cs="Courier New"/>
      <w:sz w:val="20"/>
      <w:szCs w:val="20"/>
    </w:rPr>
  </w:style>
  <w:style w:type="paragraph" w:customStyle="1" w:styleId="Iauiue">
    <w:name w:val="Iau?iue"/>
    <w:rsid w:val="005D2F29"/>
    <w:pPr>
      <w:widowControl w:val="0"/>
      <w:jc w:val="both"/>
    </w:pPr>
    <w:rPr>
      <w:rFonts w:ascii="Times New Roman" w:hAnsi="Times New Roman"/>
      <w:sz w:val="20"/>
      <w:szCs w:val="20"/>
    </w:rPr>
  </w:style>
  <w:style w:type="paragraph" w:customStyle="1" w:styleId="aff9">
    <w:name w:val="Заголграф"/>
    <w:basedOn w:val="3"/>
    <w:rsid w:val="005D2F29"/>
    <w:pPr>
      <w:spacing w:before="120" w:after="240"/>
      <w:jc w:val="center"/>
      <w:outlineLvl w:val="9"/>
    </w:pPr>
    <w:rPr>
      <w:rFonts w:eastAsia="Calibri"/>
      <w:noProof/>
      <w:sz w:val="22"/>
      <w:szCs w:val="22"/>
    </w:rPr>
  </w:style>
  <w:style w:type="paragraph" w:customStyle="1" w:styleId="Oaaeeoa">
    <w:name w:val="Oaaeeoa"/>
    <w:basedOn w:val="affa"/>
    <w:rsid w:val="005D2F29"/>
  </w:style>
  <w:style w:type="paragraph" w:styleId="affa">
    <w:name w:val="Message Header"/>
    <w:basedOn w:val="a0"/>
    <w:link w:val="affb"/>
    <w:rsid w:val="005D2F29"/>
    <w:pPr>
      <w:spacing w:before="60" w:after="60" w:line="200" w:lineRule="exact"/>
      <w:jc w:val="both"/>
    </w:pPr>
    <w:rPr>
      <w:rFonts w:ascii="Arial" w:eastAsia="Calibri" w:hAnsi="Arial" w:cs="Arial"/>
      <w:i/>
      <w:iCs/>
      <w:noProof/>
      <w:sz w:val="20"/>
      <w:szCs w:val="20"/>
    </w:rPr>
  </w:style>
  <w:style w:type="character" w:customStyle="1" w:styleId="affb">
    <w:name w:val="Шапка Знак"/>
    <w:basedOn w:val="a1"/>
    <w:link w:val="affa"/>
    <w:rsid w:val="005D2F29"/>
    <w:rPr>
      <w:rFonts w:ascii="Arial" w:hAnsi="Arial" w:cs="Arial"/>
      <w:i/>
      <w:iCs/>
      <w:noProof/>
      <w:sz w:val="20"/>
      <w:szCs w:val="20"/>
    </w:rPr>
  </w:style>
  <w:style w:type="paragraph" w:customStyle="1" w:styleId="Maikl1">
    <w:name w:val="Maikl1"/>
    <w:rsid w:val="005D2F29"/>
    <w:pPr>
      <w:overflowPunct w:val="0"/>
      <w:autoSpaceDE w:val="0"/>
      <w:autoSpaceDN w:val="0"/>
      <w:adjustRightInd w:val="0"/>
      <w:jc w:val="both"/>
      <w:textAlignment w:val="baseline"/>
    </w:pPr>
    <w:rPr>
      <w:rFonts w:ascii="Times New Roman" w:hAnsi="Times New Roman"/>
      <w:sz w:val="24"/>
      <w:szCs w:val="24"/>
    </w:rPr>
  </w:style>
  <w:style w:type="paragraph" w:customStyle="1" w:styleId="affc">
    <w:name w:val="Обычный.Нормальный"/>
    <w:rsid w:val="005D2F29"/>
    <w:pPr>
      <w:autoSpaceDE w:val="0"/>
      <w:autoSpaceDN w:val="0"/>
      <w:adjustRightInd w:val="0"/>
      <w:jc w:val="both"/>
    </w:pPr>
    <w:rPr>
      <w:rFonts w:ascii="Times New Roman" w:hAnsi="Times New Roman"/>
      <w:sz w:val="20"/>
      <w:szCs w:val="20"/>
    </w:rPr>
  </w:style>
  <w:style w:type="paragraph" w:styleId="affd">
    <w:name w:val="Block Text"/>
    <w:basedOn w:val="a0"/>
    <w:rsid w:val="005D2F29"/>
    <w:pPr>
      <w:ind w:left="-1134" w:right="-1283" w:firstLine="283"/>
      <w:jc w:val="both"/>
    </w:pPr>
    <w:rPr>
      <w:rFonts w:ascii="Arial" w:eastAsia="Calibri" w:hAnsi="Arial" w:cs="Arial"/>
      <w:noProof/>
    </w:rPr>
  </w:style>
  <w:style w:type="paragraph" w:customStyle="1" w:styleId="ConsNormal">
    <w:name w:val="ConsNormal"/>
    <w:rsid w:val="005D2F29"/>
    <w:pPr>
      <w:autoSpaceDE w:val="0"/>
      <w:autoSpaceDN w:val="0"/>
      <w:adjustRightInd w:val="0"/>
      <w:ind w:firstLine="720"/>
      <w:jc w:val="both"/>
    </w:pPr>
    <w:rPr>
      <w:rFonts w:ascii="Arial" w:hAnsi="Arial" w:cs="Arial"/>
      <w:sz w:val="16"/>
      <w:szCs w:val="16"/>
    </w:rPr>
  </w:style>
  <w:style w:type="paragraph" w:customStyle="1" w:styleId="1a">
    <w:name w:val="Обычный1"/>
    <w:basedOn w:val="a0"/>
    <w:rsid w:val="005D2F29"/>
    <w:pPr>
      <w:overflowPunct w:val="0"/>
      <w:autoSpaceDE w:val="0"/>
      <w:autoSpaceDN w:val="0"/>
      <w:adjustRightInd w:val="0"/>
      <w:spacing w:after="75"/>
      <w:ind w:firstLine="284"/>
      <w:jc w:val="both"/>
      <w:textAlignment w:val="baseline"/>
    </w:pPr>
    <w:rPr>
      <w:rFonts w:ascii="Arial Unicode MS" w:eastAsia="Arial Unicode MS" w:cs="Arial Unicode MS"/>
      <w:noProof/>
    </w:rPr>
  </w:style>
  <w:style w:type="paragraph" w:customStyle="1" w:styleId="ConsTitle">
    <w:name w:val="ConsTitle"/>
    <w:rsid w:val="005D2F29"/>
    <w:pPr>
      <w:widowControl w:val="0"/>
      <w:autoSpaceDE w:val="0"/>
      <w:autoSpaceDN w:val="0"/>
      <w:adjustRightInd w:val="0"/>
      <w:ind w:right="19772"/>
      <w:jc w:val="both"/>
    </w:pPr>
    <w:rPr>
      <w:rFonts w:ascii="Arial" w:hAnsi="Arial" w:cs="Arial"/>
      <w:b/>
      <w:bCs/>
      <w:sz w:val="16"/>
      <w:szCs w:val="16"/>
    </w:rPr>
  </w:style>
  <w:style w:type="paragraph" w:customStyle="1" w:styleId="1b">
    <w:name w:val="Ñòàòüÿ1"/>
    <w:basedOn w:val="a0"/>
    <w:rsid w:val="005D2F29"/>
    <w:pPr>
      <w:spacing w:line="360" w:lineRule="auto"/>
      <w:jc w:val="both"/>
    </w:pPr>
    <w:rPr>
      <w:rFonts w:eastAsia="Calibri"/>
      <w:noProof/>
    </w:rPr>
  </w:style>
  <w:style w:type="paragraph" w:customStyle="1" w:styleId="BodyText25">
    <w:name w:val="Body Text 25"/>
    <w:basedOn w:val="a0"/>
    <w:rsid w:val="005D2F29"/>
    <w:pPr>
      <w:overflowPunct w:val="0"/>
      <w:autoSpaceDE w:val="0"/>
      <w:autoSpaceDN w:val="0"/>
      <w:adjustRightInd w:val="0"/>
      <w:jc w:val="center"/>
      <w:textAlignment w:val="baseline"/>
    </w:pPr>
    <w:rPr>
      <w:rFonts w:ascii="Arial" w:eastAsia="Calibri" w:hAnsi="Arial" w:cs="Arial"/>
      <w:b/>
      <w:bCs/>
      <w:noProof/>
    </w:rPr>
  </w:style>
  <w:style w:type="paragraph" w:customStyle="1" w:styleId="BodyText23">
    <w:name w:val="Body Text 23"/>
    <w:basedOn w:val="a0"/>
    <w:rsid w:val="005D2F29"/>
    <w:pPr>
      <w:overflowPunct w:val="0"/>
      <w:autoSpaceDE w:val="0"/>
      <w:autoSpaceDN w:val="0"/>
      <w:adjustRightInd w:val="0"/>
      <w:jc w:val="center"/>
      <w:textAlignment w:val="baseline"/>
    </w:pPr>
    <w:rPr>
      <w:rFonts w:ascii="Arial" w:eastAsia="Calibri" w:hAnsi="Arial" w:cs="Arial"/>
      <w:b/>
      <w:bCs/>
      <w:noProof/>
    </w:rPr>
  </w:style>
  <w:style w:type="paragraph" w:customStyle="1" w:styleId="BodyTextIndent21">
    <w:name w:val="Body Text Indent 21"/>
    <w:basedOn w:val="a0"/>
    <w:rsid w:val="005D2F29"/>
    <w:pPr>
      <w:overflowPunct w:val="0"/>
      <w:autoSpaceDE w:val="0"/>
      <w:autoSpaceDN w:val="0"/>
      <w:adjustRightInd w:val="0"/>
      <w:ind w:firstLine="708"/>
      <w:jc w:val="both"/>
      <w:textAlignment w:val="baseline"/>
    </w:pPr>
    <w:rPr>
      <w:rFonts w:eastAsia="Calibri"/>
      <w:noProof/>
    </w:rPr>
  </w:style>
  <w:style w:type="paragraph" w:customStyle="1" w:styleId="BodyText211">
    <w:name w:val="Body Text 211"/>
    <w:basedOn w:val="a0"/>
    <w:rsid w:val="005D2F29"/>
    <w:pPr>
      <w:overflowPunct w:val="0"/>
      <w:autoSpaceDE w:val="0"/>
      <w:autoSpaceDN w:val="0"/>
      <w:adjustRightInd w:val="0"/>
      <w:jc w:val="both"/>
      <w:textAlignment w:val="baseline"/>
    </w:pPr>
    <w:rPr>
      <w:rFonts w:eastAsia="Calibri"/>
      <w:noProof/>
    </w:rPr>
  </w:style>
  <w:style w:type="paragraph" w:customStyle="1" w:styleId="BodyText24">
    <w:name w:val="Body Text 24"/>
    <w:basedOn w:val="a0"/>
    <w:rsid w:val="005D2F29"/>
    <w:pPr>
      <w:overflowPunct w:val="0"/>
      <w:autoSpaceDE w:val="0"/>
      <w:autoSpaceDN w:val="0"/>
      <w:adjustRightInd w:val="0"/>
      <w:ind w:firstLine="720"/>
      <w:jc w:val="both"/>
      <w:textAlignment w:val="baseline"/>
    </w:pPr>
    <w:rPr>
      <w:rFonts w:eastAsia="Calibri"/>
      <w:noProof/>
    </w:rPr>
  </w:style>
  <w:style w:type="paragraph" w:customStyle="1" w:styleId="BodyText22">
    <w:name w:val="Body Text 22"/>
    <w:basedOn w:val="a0"/>
    <w:rsid w:val="005D2F29"/>
    <w:pPr>
      <w:overflowPunct w:val="0"/>
      <w:autoSpaceDE w:val="0"/>
      <w:autoSpaceDN w:val="0"/>
      <w:adjustRightInd w:val="0"/>
      <w:jc w:val="center"/>
      <w:textAlignment w:val="baseline"/>
    </w:pPr>
    <w:rPr>
      <w:rFonts w:ascii="Arial" w:eastAsia="Calibri" w:hAnsi="Arial" w:cs="Arial"/>
      <w:b/>
      <w:bCs/>
      <w:noProof/>
    </w:rPr>
  </w:style>
  <w:style w:type="paragraph" w:customStyle="1" w:styleId="BodyText21">
    <w:name w:val="Body Text 21"/>
    <w:basedOn w:val="a0"/>
    <w:rsid w:val="005D2F29"/>
    <w:pPr>
      <w:overflowPunct w:val="0"/>
      <w:autoSpaceDE w:val="0"/>
      <w:autoSpaceDN w:val="0"/>
      <w:adjustRightInd w:val="0"/>
      <w:ind w:firstLine="540"/>
      <w:jc w:val="both"/>
      <w:textAlignment w:val="baseline"/>
    </w:pPr>
    <w:rPr>
      <w:rFonts w:eastAsia="Calibri"/>
      <w:noProof/>
    </w:rPr>
  </w:style>
  <w:style w:type="character" w:customStyle="1" w:styleId="SubtitleChar">
    <w:name w:val="Subtitle Char"/>
    <w:basedOn w:val="a1"/>
    <w:locked/>
    <w:rsid w:val="005D2F29"/>
    <w:rPr>
      <w:rFonts w:cs="Times New Roman"/>
      <w:b/>
      <w:bCs/>
      <w:sz w:val="24"/>
      <w:szCs w:val="24"/>
      <w:lang w:val="ru-RU" w:eastAsia="ru-RU" w:bidi="ar-SA"/>
    </w:rPr>
  </w:style>
  <w:style w:type="paragraph" w:customStyle="1" w:styleId="42">
    <w:name w:val="çàãîëîâîê 4"/>
    <w:basedOn w:val="a0"/>
    <w:next w:val="a0"/>
    <w:rsid w:val="005D2F29"/>
    <w:pPr>
      <w:keepNext/>
      <w:spacing w:before="120" w:after="120"/>
      <w:jc w:val="both"/>
    </w:pPr>
    <w:rPr>
      <w:rFonts w:ascii="Arial" w:eastAsia="Calibri" w:hAnsi="Arial" w:cs="Arial"/>
      <w:i/>
      <w:iCs/>
      <w:noProof/>
      <w:sz w:val="22"/>
      <w:szCs w:val="22"/>
    </w:rPr>
  </w:style>
  <w:style w:type="paragraph" w:customStyle="1" w:styleId="Oaaeiono2">
    <w:name w:val="Oaaeiono2"/>
    <w:basedOn w:val="a0"/>
    <w:rsid w:val="005D2F29"/>
    <w:pPr>
      <w:spacing w:line="220" w:lineRule="exact"/>
      <w:ind w:left="170"/>
      <w:jc w:val="both"/>
    </w:pPr>
    <w:rPr>
      <w:rFonts w:ascii="Arial" w:eastAsia="Calibri" w:hAnsi="Arial" w:cs="Arial"/>
      <w:noProof/>
      <w:sz w:val="20"/>
      <w:szCs w:val="20"/>
    </w:rPr>
  </w:style>
  <w:style w:type="character" w:customStyle="1" w:styleId="iiianoaieou">
    <w:name w:val="iiia? no?aieou"/>
    <w:basedOn w:val="a1"/>
    <w:rsid w:val="005D2F29"/>
    <w:rPr>
      <w:rFonts w:ascii="Arial" w:hAnsi="Arial" w:cs="Arial"/>
      <w:b/>
      <w:bCs/>
      <w:sz w:val="28"/>
      <w:szCs w:val="28"/>
      <w:vertAlign w:val="baseline"/>
    </w:rPr>
  </w:style>
  <w:style w:type="character" w:customStyle="1" w:styleId="msg">
    <w:name w:val="msg"/>
    <w:basedOn w:val="a1"/>
    <w:rsid w:val="005D2F29"/>
    <w:rPr>
      <w:rFonts w:cs="Times New Roman"/>
    </w:rPr>
  </w:style>
  <w:style w:type="paragraph" w:customStyle="1" w:styleId="affe">
    <w:name w:val="Знак"/>
    <w:basedOn w:val="a0"/>
    <w:rsid w:val="005D2F29"/>
    <w:pPr>
      <w:spacing w:before="100" w:beforeAutospacing="1" w:after="100" w:afterAutospacing="1"/>
      <w:jc w:val="both"/>
    </w:pPr>
    <w:rPr>
      <w:rFonts w:ascii="Tahoma" w:eastAsia="Calibri" w:hAnsi="Tahoma"/>
      <w:noProof/>
      <w:sz w:val="20"/>
      <w:szCs w:val="20"/>
      <w:lang w:val="en-US" w:eastAsia="en-US"/>
    </w:rPr>
  </w:style>
  <w:style w:type="character" w:customStyle="1" w:styleId="72">
    <w:name w:val="Знак Знак7"/>
    <w:basedOn w:val="a1"/>
    <w:rsid w:val="005D2F29"/>
    <w:rPr>
      <w:rFonts w:ascii="Arial" w:hAnsi="Arial" w:cs="Arial"/>
      <w:b/>
      <w:bCs/>
      <w:sz w:val="26"/>
      <w:szCs w:val="26"/>
      <w:lang w:eastAsia="ru-RU"/>
    </w:rPr>
  </w:style>
  <w:style w:type="paragraph" w:styleId="HTML">
    <w:name w:val="HTML Preformatted"/>
    <w:basedOn w:val="a0"/>
    <w:link w:val="HTML0"/>
    <w:rsid w:val="005D2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Calibri" w:hAnsi="Courier New" w:cs="Courier New"/>
      <w:noProof/>
      <w:sz w:val="20"/>
      <w:szCs w:val="20"/>
    </w:rPr>
  </w:style>
  <w:style w:type="character" w:customStyle="1" w:styleId="HTML0">
    <w:name w:val="Стандартный HTML Знак"/>
    <w:basedOn w:val="a1"/>
    <w:link w:val="HTML"/>
    <w:rsid w:val="005D2F29"/>
    <w:rPr>
      <w:rFonts w:ascii="Courier New" w:hAnsi="Courier New" w:cs="Courier New"/>
      <w:noProof/>
      <w:sz w:val="20"/>
      <w:szCs w:val="20"/>
    </w:rPr>
  </w:style>
  <w:style w:type="character" w:customStyle="1" w:styleId="314">
    <w:name w:val="Знак Знак31"/>
    <w:basedOn w:val="a1"/>
    <w:rsid w:val="005D2F29"/>
    <w:rPr>
      <w:rFonts w:ascii="Times New Roman" w:hAnsi="Times New Roman" w:cs="Times New Roman"/>
      <w:sz w:val="24"/>
      <w:szCs w:val="24"/>
    </w:rPr>
  </w:style>
  <w:style w:type="paragraph" w:customStyle="1" w:styleId="ListParagraph">
    <w:name w:val="List Paragraph"/>
    <w:basedOn w:val="a0"/>
    <w:link w:val="ListParagraphChar"/>
    <w:rsid w:val="005D2F29"/>
    <w:pPr>
      <w:spacing w:after="200" w:line="276" w:lineRule="auto"/>
      <w:ind w:left="720"/>
      <w:jc w:val="both"/>
    </w:pPr>
    <w:rPr>
      <w:rFonts w:ascii="Calibri" w:hAnsi="Calibri"/>
      <w:noProof/>
      <w:sz w:val="20"/>
      <w:szCs w:val="20"/>
      <w:lang/>
    </w:rPr>
  </w:style>
  <w:style w:type="character" w:customStyle="1" w:styleId="ListParagraphChar">
    <w:name w:val="List Paragraph Char"/>
    <w:link w:val="ListParagraph"/>
    <w:locked/>
    <w:rsid w:val="005D2F29"/>
    <w:rPr>
      <w:rFonts w:eastAsia="Times New Roman"/>
      <w:noProof/>
      <w:sz w:val="20"/>
      <w:szCs w:val="20"/>
      <w:lang/>
    </w:rPr>
  </w:style>
  <w:style w:type="character" w:customStyle="1" w:styleId="WW8Num1z0">
    <w:name w:val="WW8Num1z0"/>
    <w:rsid w:val="005D2F29"/>
    <w:rPr>
      <w:rFonts w:ascii="Symbol" w:hAnsi="Symbol"/>
    </w:rPr>
  </w:style>
  <w:style w:type="character" w:customStyle="1" w:styleId="WW8Num1z1">
    <w:name w:val="WW8Num1z1"/>
    <w:rsid w:val="005D2F29"/>
    <w:rPr>
      <w:rFonts w:ascii="Courier New" w:hAnsi="Courier New"/>
    </w:rPr>
  </w:style>
  <w:style w:type="character" w:customStyle="1" w:styleId="WW8Num1z2">
    <w:name w:val="WW8Num1z2"/>
    <w:rsid w:val="005D2F29"/>
    <w:rPr>
      <w:rFonts w:ascii="Wingdings" w:hAnsi="Wingdings"/>
    </w:rPr>
  </w:style>
  <w:style w:type="character" w:customStyle="1" w:styleId="WW8Num2z0">
    <w:name w:val="WW8Num2z0"/>
    <w:rsid w:val="005D2F29"/>
    <w:rPr>
      <w:rFonts w:ascii="Wingdings" w:hAnsi="Wingdings"/>
    </w:rPr>
  </w:style>
  <w:style w:type="character" w:customStyle="1" w:styleId="WW8Num2z1">
    <w:name w:val="WW8Num2z1"/>
    <w:rsid w:val="005D2F29"/>
    <w:rPr>
      <w:rFonts w:ascii="Courier New" w:hAnsi="Courier New"/>
    </w:rPr>
  </w:style>
  <w:style w:type="character" w:customStyle="1" w:styleId="WW8Num2z3">
    <w:name w:val="WW8Num2z3"/>
    <w:rsid w:val="005D2F29"/>
    <w:rPr>
      <w:rFonts w:ascii="Symbol" w:hAnsi="Symbol"/>
    </w:rPr>
  </w:style>
  <w:style w:type="character" w:customStyle="1" w:styleId="WW8Num3z0">
    <w:name w:val="WW8Num3z0"/>
    <w:rsid w:val="005D2F29"/>
    <w:rPr>
      <w:rFonts w:ascii="Symbol" w:hAnsi="Symbol"/>
    </w:rPr>
  </w:style>
  <w:style w:type="character" w:customStyle="1" w:styleId="WW8Num3z1">
    <w:name w:val="WW8Num3z1"/>
    <w:rsid w:val="005D2F29"/>
    <w:rPr>
      <w:rFonts w:ascii="Courier New" w:hAnsi="Courier New"/>
    </w:rPr>
  </w:style>
  <w:style w:type="character" w:customStyle="1" w:styleId="WW8Num3z2">
    <w:name w:val="WW8Num3z2"/>
    <w:rsid w:val="005D2F29"/>
    <w:rPr>
      <w:rFonts w:ascii="Wingdings" w:hAnsi="Wingdings"/>
    </w:rPr>
  </w:style>
  <w:style w:type="character" w:customStyle="1" w:styleId="WW8Num4z0">
    <w:name w:val="WW8Num4z0"/>
    <w:rsid w:val="005D2F29"/>
    <w:rPr>
      <w:rFonts w:ascii="Times New Roman" w:hAnsi="Times New Roman"/>
    </w:rPr>
  </w:style>
  <w:style w:type="character" w:customStyle="1" w:styleId="WW8Num4z1">
    <w:name w:val="WW8Num4z1"/>
    <w:rsid w:val="005D2F29"/>
    <w:rPr>
      <w:rFonts w:ascii="Courier New" w:hAnsi="Courier New"/>
    </w:rPr>
  </w:style>
  <w:style w:type="character" w:customStyle="1" w:styleId="WW8Num4z2">
    <w:name w:val="WW8Num4z2"/>
    <w:rsid w:val="005D2F29"/>
    <w:rPr>
      <w:rFonts w:ascii="Wingdings" w:hAnsi="Wingdings"/>
    </w:rPr>
  </w:style>
  <w:style w:type="character" w:customStyle="1" w:styleId="WW8Num4z3">
    <w:name w:val="WW8Num4z3"/>
    <w:rsid w:val="005D2F29"/>
    <w:rPr>
      <w:rFonts w:ascii="Symbol" w:hAnsi="Symbol"/>
    </w:rPr>
  </w:style>
  <w:style w:type="character" w:customStyle="1" w:styleId="WW8Num5z0">
    <w:name w:val="WW8Num5z0"/>
    <w:rsid w:val="005D2F29"/>
    <w:rPr>
      <w:rFonts w:ascii="Wingdings" w:hAnsi="Wingdings"/>
    </w:rPr>
  </w:style>
  <w:style w:type="character" w:customStyle="1" w:styleId="WW8Num6z0">
    <w:name w:val="WW8Num6z0"/>
    <w:rsid w:val="005D2F29"/>
    <w:rPr>
      <w:rFonts w:ascii="Symbol" w:hAnsi="Symbol"/>
    </w:rPr>
  </w:style>
  <w:style w:type="character" w:customStyle="1" w:styleId="WW8Num6z1">
    <w:name w:val="WW8Num6z1"/>
    <w:rsid w:val="005D2F29"/>
    <w:rPr>
      <w:rFonts w:ascii="Courier New" w:hAnsi="Courier New"/>
    </w:rPr>
  </w:style>
  <w:style w:type="character" w:customStyle="1" w:styleId="WW8Num6z2">
    <w:name w:val="WW8Num6z2"/>
    <w:rsid w:val="005D2F29"/>
    <w:rPr>
      <w:rFonts w:ascii="Wingdings" w:hAnsi="Wingdings"/>
    </w:rPr>
  </w:style>
  <w:style w:type="character" w:customStyle="1" w:styleId="WW8Num7z0">
    <w:name w:val="WW8Num7z0"/>
    <w:rsid w:val="005D2F29"/>
    <w:rPr>
      <w:rFonts w:ascii="Symbol" w:hAnsi="Symbol"/>
    </w:rPr>
  </w:style>
  <w:style w:type="character" w:customStyle="1" w:styleId="WW8Num7z1">
    <w:name w:val="WW8Num7z1"/>
    <w:rsid w:val="005D2F29"/>
    <w:rPr>
      <w:rFonts w:ascii="Courier New" w:hAnsi="Courier New"/>
    </w:rPr>
  </w:style>
  <w:style w:type="character" w:customStyle="1" w:styleId="WW8Num7z2">
    <w:name w:val="WW8Num7z2"/>
    <w:rsid w:val="005D2F29"/>
    <w:rPr>
      <w:rFonts w:ascii="Wingdings" w:hAnsi="Wingdings"/>
    </w:rPr>
  </w:style>
  <w:style w:type="character" w:customStyle="1" w:styleId="WW8Num9z1">
    <w:name w:val="WW8Num9z1"/>
    <w:rsid w:val="005D2F29"/>
    <w:rPr>
      <w:rFonts w:ascii="Times New Roman" w:hAnsi="Times New Roman"/>
    </w:rPr>
  </w:style>
  <w:style w:type="character" w:customStyle="1" w:styleId="WW8Num12z1">
    <w:name w:val="WW8Num12z1"/>
    <w:rsid w:val="005D2F29"/>
    <w:rPr>
      <w:rFonts w:ascii="Times New Roman" w:hAnsi="Times New Roman"/>
    </w:rPr>
  </w:style>
  <w:style w:type="character" w:customStyle="1" w:styleId="WW8Num13z0">
    <w:name w:val="WW8Num13z0"/>
    <w:rsid w:val="005D2F29"/>
    <w:rPr>
      <w:rFonts w:ascii="Times New Roman" w:hAnsi="Times New Roman"/>
    </w:rPr>
  </w:style>
  <w:style w:type="character" w:customStyle="1" w:styleId="WW8Num14z0">
    <w:name w:val="WW8Num14z0"/>
    <w:rsid w:val="005D2F29"/>
    <w:rPr>
      <w:rFonts w:ascii="Symbol" w:hAnsi="Symbol"/>
    </w:rPr>
  </w:style>
  <w:style w:type="character" w:customStyle="1" w:styleId="WW8Num14z1">
    <w:name w:val="WW8Num14z1"/>
    <w:rsid w:val="005D2F29"/>
    <w:rPr>
      <w:rFonts w:ascii="Courier New" w:hAnsi="Courier New"/>
    </w:rPr>
  </w:style>
  <w:style w:type="character" w:customStyle="1" w:styleId="WW8Num14z2">
    <w:name w:val="WW8Num14z2"/>
    <w:rsid w:val="005D2F29"/>
    <w:rPr>
      <w:rFonts w:ascii="Wingdings" w:hAnsi="Wingdings"/>
    </w:rPr>
  </w:style>
  <w:style w:type="character" w:customStyle="1" w:styleId="WW8Num16z0">
    <w:name w:val="WW8Num16z0"/>
    <w:rsid w:val="005D2F29"/>
    <w:rPr>
      <w:rFonts w:ascii="Symbol" w:hAnsi="Symbol"/>
    </w:rPr>
  </w:style>
  <w:style w:type="character" w:customStyle="1" w:styleId="WW8Num16z1">
    <w:name w:val="WW8Num16z1"/>
    <w:rsid w:val="005D2F29"/>
    <w:rPr>
      <w:rFonts w:ascii="Courier New" w:hAnsi="Courier New"/>
    </w:rPr>
  </w:style>
  <w:style w:type="character" w:customStyle="1" w:styleId="WW8Num16z2">
    <w:name w:val="WW8Num16z2"/>
    <w:rsid w:val="005D2F29"/>
    <w:rPr>
      <w:rFonts w:ascii="Wingdings" w:hAnsi="Wingdings"/>
    </w:rPr>
  </w:style>
  <w:style w:type="character" w:customStyle="1" w:styleId="WW8Num17z0">
    <w:name w:val="WW8Num17z0"/>
    <w:rsid w:val="005D2F29"/>
    <w:rPr>
      <w:rFonts w:ascii="Times New Roman" w:hAnsi="Times New Roman"/>
    </w:rPr>
  </w:style>
  <w:style w:type="character" w:customStyle="1" w:styleId="WW8Num17z1">
    <w:name w:val="WW8Num17z1"/>
    <w:rsid w:val="005D2F29"/>
    <w:rPr>
      <w:rFonts w:ascii="Courier New" w:hAnsi="Courier New"/>
    </w:rPr>
  </w:style>
  <w:style w:type="character" w:customStyle="1" w:styleId="WW8Num17z2">
    <w:name w:val="WW8Num17z2"/>
    <w:rsid w:val="005D2F29"/>
    <w:rPr>
      <w:rFonts w:ascii="Wingdings" w:hAnsi="Wingdings"/>
    </w:rPr>
  </w:style>
  <w:style w:type="character" w:customStyle="1" w:styleId="WW8Num17z3">
    <w:name w:val="WW8Num17z3"/>
    <w:rsid w:val="005D2F29"/>
    <w:rPr>
      <w:rFonts w:ascii="Symbol" w:hAnsi="Symbol"/>
    </w:rPr>
  </w:style>
  <w:style w:type="character" w:customStyle="1" w:styleId="WW8Num18z0">
    <w:name w:val="WW8Num18z0"/>
    <w:rsid w:val="005D2F29"/>
    <w:rPr>
      <w:rFonts w:ascii="Times New Roman" w:hAnsi="Times New Roman"/>
    </w:rPr>
  </w:style>
  <w:style w:type="character" w:customStyle="1" w:styleId="WW8Num19z0">
    <w:name w:val="WW8Num19z0"/>
    <w:rsid w:val="005D2F29"/>
    <w:rPr>
      <w:rFonts w:ascii="Symbol" w:hAnsi="Symbol"/>
      <w:sz w:val="24"/>
    </w:rPr>
  </w:style>
  <w:style w:type="character" w:customStyle="1" w:styleId="WW8Num19z1">
    <w:name w:val="WW8Num19z1"/>
    <w:rsid w:val="005D2F29"/>
    <w:rPr>
      <w:rFonts w:ascii="Courier New" w:hAnsi="Courier New"/>
    </w:rPr>
  </w:style>
  <w:style w:type="character" w:customStyle="1" w:styleId="WW8Num19z2">
    <w:name w:val="WW8Num19z2"/>
    <w:rsid w:val="005D2F29"/>
    <w:rPr>
      <w:rFonts w:ascii="Wingdings" w:hAnsi="Wingdings"/>
    </w:rPr>
  </w:style>
  <w:style w:type="character" w:customStyle="1" w:styleId="WW8Num19z3">
    <w:name w:val="WW8Num19z3"/>
    <w:rsid w:val="005D2F29"/>
    <w:rPr>
      <w:rFonts w:ascii="Symbol" w:hAnsi="Symbol"/>
    </w:rPr>
  </w:style>
  <w:style w:type="character" w:customStyle="1" w:styleId="WW8Num20z0">
    <w:name w:val="WW8Num20z0"/>
    <w:rsid w:val="005D2F29"/>
    <w:rPr>
      <w:rFonts w:ascii="Symbol" w:hAnsi="Symbol"/>
    </w:rPr>
  </w:style>
  <w:style w:type="character" w:customStyle="1" w:styleId="WW8Num20z1">
    <w:name w:val="WW8Num20z1"/>
    <w:rsid w:val="005D2F29"/>
    <w:rPr>
      <w:rFonts w:ascii="Courier New" w:hAnsi="Courier New"/>
    </w:rPr>
  </w:style>
  <w:style w:type="character" w:customStyle="1" w:styleId="WW8Num20z2">
    <w:name w:val="WW8Num20z2"/>
    <w:rsid w:val="005D2F29"/>
    <w:rPr>
      <w:rFonts w:ascii="Wingdings" w:hAnsi="Wingdings"/>
    </w:rPr>
  </w:style>
  <w:style w:type="character" w:customStyle="1" w:styleId="WW8Num21z0">
    <w:name w:val="WW8Num21z0"/>
    <w:rsid w:val="005D2F29"/>
    <w:rPr>
      <w:rFonts w:ascii="Symbol" w:hAnsi="Symbol"/>
    </w:rPr>
  </w:style>
  <w:style w:type="character" w:customStyle="1" w:styleId="WW8Num21z2">
    <w:name w:val="WW8Num21z2"/>
    <w:rsid w:val="005D2F29"/>
    <w:rPr>
      <w:rFonts w:ascii="Wingdings" w:hAnsi="Wingdings"/>
    </w:rPr>
  </w:style>
  <w:style w:type="character" w:customStyle="1" w:styleId="WW8Num21z4">
    <w:name w:val="WW8Num21z4"/>
    <w:rsid w:val="005D2F29"/>
    <w:rPr>
      <w:rFonts w:ascii="Courier New" w:hAnsi="Courier New"/>
    </w:rPr>
  </w:style>
  <w:style w:type="character" w:customStyle="1" w:styleId="WW8Num22z1">
    <w:name w:val="WW8Num22z1"/>
    <w:rsid w:val="005D2F29"/>
    <w:rPr>
      <w:rFonts w:ascii="Symbol" w:hAnsi="Symbol"/>
    </w:rPr>
  </w:style>
  <w:style w:type="character" w:customStyle="1" w:styleId="WW8Num23z0">
    <w:name w:val="WW8Num23z0"/>
    <w:rsid w:val="005D2F29"/>
    <w:rPr>
      <w:rFonts w:ascii="Symbol" w:hAnsi="Symbol"/>
    </w:rPr>
  </w:style>
  <w:style w:type="character" w:customStyle="1" w:styleId="WW8Num23z1">
    <w:name w:val="WW8Num23z1"/>
    <w:rsid w:val="005D2F29"/>
    <w:rPr>
      <w:rFonts w:ascii="Courier New" w:hAnsi="Courier New"/>
    </w:rPr>
  </w:style>
  <w:style w:type="character" w:customStyle="1" w:styleId="WW8Num23z2">
    <w:name w:val="WW8Num23z2"/>
    <w:rsid w:val="005D2F29"/>
    <w:rPr>
      <w:rFonts w:ascii="Wingdings" w:hAnsi="Wingdings"/>
    </w:rPr>
  </w:style>
  <w:style w:type="character" w:customStyle="1" w:styleId="WW8Num24z0">
    <w:name w:val="WW8Num24z0"/>
    <w:rsid w:val="005D2F29"/>
    <w:rPr>
      <w:rFonts w:ascii="Symbol" w:hAnsi="Symbol"/>
    </w:rPr>
  </w:style>
  <w:style w:type="character" w:customStyle="1" w:styleId="WW8Num24z1">
    <w:name w:val="WW8Num24z1"/>
    <w:rsid w:val="005D2F29"/>
    <w:rPr>
      <w:rFonts w:ascii="Courier New" w:hAnsi="Courier New"/>
    </w:rPr>
  </w:style>
  <w:style w:type="character" w:customStyle="1" w:styleId="WW8Num24z2">
    <w:name w:val="WW8Num24z2"/>
    <w:rsid w:val="005D2F29"/>
    <w:rPr>
      <w:rFonts w:ascii="Wingdings" w:hAnsi="Wingdings"/>
    </w:rPr>
  </w:style>
  <w:style w:type="character" w:customStyle="1" w:styleId="WW8Num25z0">
    <w:name w:val="WW8Num25z0"/>
    <w:rsid w:val="005D2F29"/>
    <w:rPr>
      <w:rFonts w:ascii="Times New Roman" w:hAnsi="Times New Roman"/>
    </w:rPr>
  </w:style>
  <w:style w:type="character" w:customStyle="1" w:styleId="1c">
    <w:name w:val="Основной шрифт абзаца1"/>
    <w:rsid w:val="005D2F29"/>
  </w:style>
  <w:style w:type="paragraph" w:customStyle="1" w:styleId="1d">
    <w:name w:val="Заголовок1"/>
    <w:basedOn w:val="a0"/>
    <w:next w:val="a6"/>
    <w:rsid w:val="005D2F29"/>
    <w:pPr>
      <w:keepNext/>
      <w:suppressAutoHyphens/>
      <w:spacing w:before="240" w:after="120"/>
      <w:jc w:val="both"/>
    </w:pPr>
    <w:rPr>
      <w:rFonts w:ascii="Arial" w:eastAsia="Calibri" w:hAnsi="Arial" w:cs="Tahoma"/>
      <w:noProof/>
      <w:sz w:val="28"/>
      <w:szCs w:val="28"/>
      <w:lang w:eastAsia="ar-SA"/>
    </w:rPr>
  </w:style>
  <w:style w:type="paragraph" w:styleId="afff">
    <w:name w:val="List"/>
    <w:basedOn w:val="a6"/>
    <w:rsid w:val="005D2F29"/>
    <w:pPr>
      <w:autoSpaceDE/>
    </w:pPr>
    <w:rPr>
      <w:rFonts w:ascii="Arial" w:eastAsia="Calibri" w:hAnsi="Arial" w:cs="Tahoma"/>
      <w:noProof/>
      <w:szCs w:val="24"/>
    </w:rPr>
  </w:style>
  <w:style w:type="paragraph" w:customStyle="1" w:styleId="1e">
    <w:name w:val="Название1"/>
    <w:basedOn w:val="a0"/>
    <w:rsid w:val="005D2F29"/>
    <w:pPr>
      <w:suppressLineNumbers/>
      <w:suppressAutoHyphens/>
      <w:spacing w:before="120" w:after="120"/>
      <w:jc w:val="both"/>
    </w:pPr>
    <w:rPr>
      <w:rFonts w:ascii="Arial" w:eastAsia="Calibri" w:hAnsi="Arial" w:cs="Tahoma"/>
      <w:i/>
      <w:iCs/>
      <w:noProof/>
      <w:sz w:val="20"/>
      <w:lang w:eastAsia="ar-SA"/>
    </w:rPr>
  </w:style>
  <w:style w:type="paragraph" w:customStyle="1" w:styleId="1f">
    <w:name w:val="Указатель1"/>
    <w:basedOn w:val="a0"/>
    <w:rsid w:val="005D2F29"/>
    <w:pPr>
      <w:suppressLineNumbers/>
      <w:suppressAutoHyphens/>
      <w:jc w:val="both"/>
    </w:pPr>
    <w:rPr>
      <w:rFonts w:ascii="Arial" w:eastAsia="Calibri" w:hAnsi="Arial" w:cs="Tahoma"/>
      <w:noProof/>
      <w:lang w:eastAsia="ar-SA"/>
    </w:rPr>
  </w:style>
  <w:style w:type="paragraph" w:customStyle="1" w:styleId="315">
    <w:name w:val="Основной текст 31"/>
    <w:basedOn w:val="a0"/>
    <w:rsid w:val="005D2F29"/>
    <w:pPr>
      <w:suppressAutoHyphens/>
      <w:overflowPunct w:val="0"/>
      <w:autoSpaceDE w:val="0"/>
      <w:jc w:val="both"/>
      <w:textAlignment w:val="baseline"/>
    </w:pPr>
    <w:rPr>
      <w:rFonts w:eastAsia="Calibri"/>
      <w:noProof/>
      <w:sz w:val="28"/>
      <w:szCs w:val="28"/>
      <w:lang w:eastAsia="ar-SA"/>
    </w:rPr>
  </w:style>
  <w:style w:type="paragraph" w:customStyle="1" w:styleId="1f0">
    <w:name w:val="Текст примечания1"/>
    <w:basedOn w:val="a0"/>
    <w:rsid w:val="005D2F29"/>
    <w:pPr>
      <w:suppressAutoHyphens/>
      <w:overflowPunct w:val="0"/>
      <w:autoSpaceDE w:val="0"/>
      <w:jc w:val="both"/>
      <w:textAlignment w:val="baseline"/>
    </w:pPr>
    <w:rPr>
      <w:rFonts w:eastAsia="Calibri"/>
      <w:noProof/>
      <w:sz w:val="20"/>
      <w:szCs w:val="20"/>
      <w:lang w:eastAsia="ar-SA"/>
    </w:rPr>
  </w:style>
  <w:style w:type="paragraph" w:customStyle="1" w:styleId="1f1">
    <w:name w:val="Шапка1"/>
    <w:basedOn w:val="a0"/>
    <w:rsid w:val="005D2F29"/>
    <w:pPr>
      <w:suppressAutoHyphens/>
      <w:spacing w:before="60" w:after="60" w:line="200" w:lineRule="exact"/>
      <w:jc w:val="both"/>
    </w:pPr>
    <w:rPr>
      <w:rFonts w:ascii="Arial" w:eastAsia="Calibri" w:hAnsi="Arial"/>
      <w:i/>
      <w:noProof/>
      <w:sz w:val="20"/>
      <w:szCs w:val="20"/>
      <w:lang w:eastAsia="ar-SA"/>
    </w:rPr>
  </w:style>
  <w:style w:type="paragraph" w:customStyle="1" w:styleId="Zagolovok11">
    <w:name w:val="Zagolovok 1.1."/>
    <w:basedOn w:val="a0"/>
    <w:rsid w:val="005D2F29"/>
    <w:pPr>
      <w:keepNext/>
      <w:suppressAutoHyphens/>
      <w:spacing w:before="120" w:after="120"/>
      <w:jc w:val="center"/>
    </w:pPr>
    <w:rPr>
      <w:rFonts w:eastAsia="Calibri"/>
      <w:b/>
      <w:noProof/>
      <w:szCs w:val="20"/>
      <w:lang w:eastAsia="ar-SA"/>
    </w:rPr>
  </w:style>
  <w:style w:type="paragraph" w:customStyle="1" w:styleId="afff0">
    <w:name w:val="Содержимое таблицы"/>
    <w:basedOn w:val="a0"/>
    <w:rsid w:val="005D2F29"/>
    <w:pPr>
      <w:suppressLineNumbers/>
      <w:suppressAutoHyphens/>
      <w:jc w:val="both"/>
    </w:pPr>
    <w:rPr>
      <w:rFonts w:eastAsia="Calibri"/>
      <w:noProof/>
      <w:lang w:eastAsia="ar-SA"/>
    </w:rPr>
  </w:style>
  <w:style w:type="paragraph" w:customStyle="1" w:styleId="afff1">
    <w:name w:val="Заголовок таблицы"/>
    <w:basedOn w:val="afff0"/>
    <w:rsid w:val="005D2F29"/>
    <w:pPr>
      <w:jc w:val="center"/>
    </w:pPr>
    <w:rPr>
      <w:b/>
      <w:bCs/>
    </w:rPr>
  </w:style>
  <w:style w:type="paragraph" w:customStyle="1" w:styleId="afff2">
    <w:name w:val="Содержимое врезки"/>
    <w:basedOn w:val="a6"/>
    <w:rsid w:val="005D2F29"/>
    <w:pPr>
      <w:autoSpaceDE/>
    </w:pPr>
    <w:rPr>
      <w:rFonts w:eastAsia="Calibri"/>
      <w:noProof/>
      <w:szCs w:val="24"/>
    </w:rPr>
  </w:style>
  <w:style w:type="character" w:customStyle="1" w:styleId="43">
    <w:name w:val="Знак Знак4"/>
    <w:basedOn w:val="a1"/>
    <w:locked/>
    <w:rsid w:val="005D2F29"/>
    <w:rPr>
      <w:rFonts w:ascii="Arial" w:hAnsi="Arial" w:cs="Arial"/>
      <w:b/>
      <w:bCs/>
      <w:sz w:val="26"/>
      <w:szCs w:val="26"/>
      <w:lang w:val="ru-RU" w:eastAsia="ru-RU" w:bidi="ar-SA"/>
    </w:rPr>
  </w:style>
  <w:style w:type="character" w:customStyle="1" w:styleId="WW8Num8z0">
    <w:name w:val="WW8Num8z0"/>
    <w:rsid w:val="005D2F29"/>
    <w:rPr>
      <w:rFonts w:ascii="Symbol" w:hAnsi="Symbol"/>
      <w:sz w:val="18"/>
    </w:rPr>
  </w:style>
  <w:style w:type="character" w:customStyle="1" w:styleId="WW8Num9z0">
    <w:name w:val="WW8Num9z0"/>
    <w:rsid w:val="005D2F29"/>
    <w:rPr>
      <w:rFonts w:ascii="Symbol" w:hAnsi="Symbol"/>
      <w:sz w:val="18"/>
    </w:rPr>
  </w:style>
  <w:style w:type="character" w:customStyle="1" w:styleId="WW8Num10z0">
    <w:name w:val="WW8Num10z0"/>
    <w:rsid w:val="005D2F29"/>
    <w:rPr>
      <w:rFonts w:ascii="Symbol" w:hAnsi="Symbol"/>
      <w:sz w:val="18"/>
    </w:rPr>
  </w:style>
  <w:style w:type="character" w:customStyle="1" w:styleId="WW8Num11z0">
    <w:name w:val="WW8Num11z0"/>
    <w:rsid w:val="005D2F29"/>
    <w:rPr>
      <w:rFonts w:ascii="Symbol" w:hAnsi="Symbol"/>
      <w:sz w:val="18"/>
    </w:rPr>
  </w:style>
  <w:style w:type="character" w:customStyle="1" w:styleId="Absatz-Standardschriftart">
    <w:name w:val="Absatz-Standardschriftart"/>
    <w:rsid w:val="005D2F29"/>
  </w:style>
  <w:style w:type="character" w:customStyle="1" w:styleId="WW-Absatz-Standardschriftart">
    <w:name w:val="WW-Absatz-Standardschriftart"/>
    <w:rsid w:val="005D2F29"/>
  </w:style>
  <w:style w:type="character" w:customStyle="1" w:styleId="WW-Absatz-Standardschriftart1">
    <w:name w:val="WW-Absatz-Standardschriftart1"/>
    <w:rsid w:val="005D2F29"/>
  </w:style>
  <w:style w:type="character" w:customStyle="1" w:styleId="WW-Absatz-Standardschriftart11">
    <w:name w:val="WW-Absatz-Standardschriftart11"/>
    <w:rsid w:val="005D2F29"/>
  </w:style>
  <w:style w:type="character" w:customStyle="1" w:styleId="WW-Absatz-Standardschriftart111">
    <w:name w:val="WW-Absatz-Standardschriftart111"/>
    <w:rsid w:val="005D2F29"/>
  </w:style>
  <w:style w:type="character" w:customStyle="1" w:styleId="WW-Absatz-Standardschriftart1111">
    <w:name w:val="WW-Absatz-Standardschriftart1111"/>
    <w:rsid w:val="005D2F29"/>
  </w:style>
  <w:style w:type="character" w:customStyle="1" w:styleId="WW-Absatz-Standardschriftart11111">
    <w:name w:val="WW-Absatz-Standardschriftart11111"/>
    <w:rsid w:val="005D2F29"/>
  </w:style>
  <w:style w:type="character" w:customStyle="1" w:styleId="WW-Absatz-Standardschriftart111111">
    <w:name w:val="WW-Absatz-Standardschriftart111111"/>
    <w:rsid w:val="005D2F29"/>
  </w:style>
  <w:style w:type="character" w:customStyle="1" w:styleId="WW-Absatz-Standardschriftart1111111">
    <w:name w:val="WW-Absatz-Standardschriftart1111111"/>
    <w:rsid w:val="005D2F29"/>
  </w:style>
  <w:style w:type="character" w:customStyle="1" w:styleId="WW-Absatz-Standardschriftart11111111">
    <w:name w:val="WW-Absatz-Standardschriftart11111111"/>
    <w:rsid w:val="005D2F29"/>
  </w:style>
  <w:style w:type="character" w:customStyle="1" w:styleId="WW-Absatz-Standardschriftart111111111">
    <w:name w:val="WW-Absatz-Standardschriftart111111111"/>
    <w:rsid w:val="005D2F29"/>
  </w:style>
  <w:style w:type="character" w:customStyle="1" w:styleId="WW-Absatz-Standardschriftart1111111111">
    <w:name w:val="WW-Absatz-Standardschriftart1111111111"/>
    <w:rsid w:val="005D2F29"/>
  </w:style>
  <w:style w:type="character" w:customStyle="1" w:styleId="WW-Absatz-Standardschriftart11111111111">
    <w:name w:val="WW-Absatz-Standardschriftart11111111111"/>
    <w:rsid w:val="005D2F29"/>
  </w:style>
  <w:style w:type="character" w:customStyle="1" w:styleId="WW-Absatz-Standardschriftart111111111111">
    <w:name w:val="WW-Absatz-Standardschriftart111111111111"/>
    <w:rsid w:val="005D2F29"/>
  </w:style>
  <w:style w:type="character" w:customStyle="1" w:styleId="WW-Absatz-Standardschriftart1111111111111">
    <w:name w:val="WW-Absatz-Standardschriftart1111111111111"/>
    <w:rsid w:val="005D2F29"/>
  </w:style>
  <w:style w:type="character" w:customStyle="1" w:styleId="WW-Absatz-Standardschriftart11111111111111">
    <w:name w:val="WW-Absatz-Standardschriftart11111111111111"/>
    <w:rsid w:val="005D2F29"/>
  </w:style>
  <w:style w:type="character" w:customStyle="1" w:styleId="WW-Absatz-Standardschriftart111111111111111">
    <w:name w:val="WW-Absatz-Standardschriftart111111111111111"/>
    <w:rsid w:val="005D2F29"/>
  </w:style>
  <w:style w:type="character" w:customStyle="1" w:styleId="WW-Absatz-Standardschriftart1111111111111111">
    <w:name w:val="WW-Absatz-Standardschriftart1111111111111111"/>
    <w:rsid w:val="005D2F29"/>
  </w:style>
  <w:style w:type="character" w:customStyle="1" w:styleId="WW-Absatz-Standardschriftart11111111111111111">
    <w:name w:val="WW-Absatz-Standardschriftart11111111111111111"/>
    <w:rsid w:val="005D2F29"/>
  </w:style>
  <w:style w:type="character" w:customStyle="1" w:styleId="WW-Absatz-Standardschriftart111111111111111111">
    <w:name w:val="WW-Absatz-Standardschriftart111111111111111111"/>
    <w:rsid w:val="005D2F29"/>
  </w:style>
  <w:style w:type="character" w:customStyle="1" w:styleId="WW-Absatz-Standardschriftart1111111111111111111">
    <w:name w:val="WW-Absatz-Standardschriftart1111111111111111111"/>
    <w:rsid w:val="005D2F29"/>
  </w:style>
  <w:style w:type="character" w:customStyle="1" w:styleId="WW-Absatz-Standardschriftart11111111111111111111">
    <w:name w:val="WW-Absatz-Standardschriftart11111111111111111111"/>
    <w:rsid w:val="005D2F29"/>
  </w:style>
  <w:style w:type="character" w:customStyle="1" w:styleId="afff3">
    <w:name w:val="Символ нумерации"/>
    <w:rsid w:val="005D2F29"/>
  </w:style>
  <w:style w:type="character" w:customStyle="1" w:styleId="afff4">
    <w:name w:val="Маркеры списка"/>
    <w:rsid w:val="005D2F29"/>
    <w:rPr>
      <w:rFonts w:ascii="StarSymbol" w:eastAsia="StarSymbol"/>
      <w:sz w:val="18"/>
    </w:rPr>
  </w:style>
  <w:style w:type="character" w:styleId="afff5">
    <w:name w:val="line number"/>
    <w:basedOn w:val="a1"/>
    <w:rsid w:val="005D2F29"/>
    <w:rPr>
      <w:rFonts w:cs="Times New Roman"/>
    </w:rPr>
  </w:style>
  <w:style w:type="character" w:customStyle="1" w:styleId="WW-Absatz-Standardschriftart111111111111111111111">
    <w:name w:val="WW-Absatz-Standardschriftart111111111111111111111"/>
    <w:rsid w:val="005D2F29"/>
  </w:style>
  <w:style w:type="character" w:customStyle="1" w:styleId="WW-Absatz-Standardschriftart1111111111111111111111">
    <w:name w:val="WW-Absatz-Standardschriftart1111111111111111111111"/>
    <w:rsid w:val="005D2F29"/>
  </w:style>
  <w:style w:type="character" w:customStyle="1" w:styleId="WW-Absatz-Standardschriftart11111111111111111111111">
    <w:name w:val="WW-Absatz-Standardschriftart11111111111111111111111"/>
    <w:rsid w:val="005D2F29"/>
  </w:style>
  <w:style w:type="character" w:customStyle="1" w:styleId="WW-Absatz-Standardschriftart111111111111111111111111">
    <w:name w:val="WW-Absatz-Standardschriftart111111111111111111111111"/>
    <w:rsid w:val="005D2F29"/>
  </w:style>
  <w:style w:type="character" w:customStyle="1" w:styleId="WW-Absatz-Standardschriftart1111111111111111111111111">
    <w:name w:val="WW-Absatz-Standardschriftart1111111111111111111111111"/>
    <w:rsid w:val="005D2F29"/>
  </w:style>
  <w:style w:type="character" w:customStyle="1" w:styleId="WW-">
    <w:name w:val="WW-Основной шрифт абзаца"/>
    <w:rsid w:val="005D2F29"/>
  </w:style>
  <w:style w:type="character" w:customStyle="1" w:styleId="WW8Num12z0">
    <w:name w:val="WW8Num12z0"/>
    <w:rsid w:val="005D2F29"/>
    <w:rPr>
      <w:rFonts w:ascii="Symbol" w:hAnsi="Symbol"/>
      <w:sz w:val="18"/>
    </w:rPr>
  </w:style>
  <w:style w:type="character" w:customStyle="1" w:styleId="WW-Absatz-Standardschriftart11111111111111111111111111">
    <w:name w:val="WW-Absatz-Standardschriftart11111111111111111111111111"/>
    <w:rsid w:val="005D2F29"/>
  </w:style>
  <w:style w:type="character" w:customStyle="1" w:styleId="WW-Absatz-Standardschriftart111111111111111111111111111">
    <w:name w:val="WW-Absatz-Standardschriftart111111111111111111111111111"/>
    <w:rsid w:val="005D2F29"/>
  </w:style>
  <w:style w:type="character" w:customStyle="1" w:styleId="WW-Absatz-Standardschriftart1111111111111111111111111111">
    <w:name w:val="WW-Absatz-Standardschriftart1111111111111111111111111111"/>
    <w:rsid w:val="005D2F29"/>
  </w:style>
  <w:style w:type="character" w:customStyle="1" w:styleId="WW-Absatz-Standardschriftart11111111111111111111111111111">
    <w:name w:val="WW-Absatz-Standardschriftart11111111111111111111111111111"/>
    <w:rsid w:val="005D2F29"/>
  </w:style>
  <w:style w:type="character" w:customStyle="1" w:styleId="WW-Absatz-Standardschriftart111111111111111111111111111111">
    <w:name w:val="WW-Absatz-Standardschriftart111111111111111111111111111111"/>
    <w:rsid w:val="005D2F29"/>
  </w:style>
  <w:style w:type="character" w:customStyle="1" w:styleId="WW-Absatz-Standardschriftart1111111111111111111111111111111">
    <w:name w:val="WW-Absatz-Standardschriftart1111111111111111111111111111111"/>
    <w:rsid w:val="005D2F29"/>
  </w:style>
  <w:style w:type="character" w:customStyle="1" w:styleId="WW-Absatz-Standardschriftart11111111111111111111111111111111">
    <w:name w:val="WW-Absatz-Standardschriftart11111111111111111111111111111111"/>
    <w:rsid w:val="005D2F29"/>
  </w:style>
  <w:style w:type="character" w:customStyle="1" w:styleId="WW-Absatz-Standardschriftart111111111111111111111111111111111">
    <w:name w:val="WW-Absatz-Standardschriftart111111111111111111111111111111111"/>
    <w:rsid w:val="005D2F29"/>
  </w:style>
  <w:style w:type="character" w:customStyle="1" w:styleId="WW-Absatz-Standardschriftart1111111111111111111111111111111111">
    <w:name w:val="WW-Absatz-Standardschriftart1111111111111111111111111111111111"/>
    <w:rsid w:val="005D2F29"/>
  </w:style>
  <w:style w:type="character" w:customStyle="1" w:styleId="WW8Num10z1">
    <w:name w:val="WW8Num10z1"/>
    <w:rsid w:val="005D2F29"/>
    <w:rPr>
      <w:rFonts w:ascii="Courier New" w:hAnsi="Courier New"/>
    </w:rPr>
  </w:style>
  <w:style w:type="character" w:customStyle="1" w:styleId="WW8Num10z2">
    <w:name w:val="WW8Num10z2"/>
    <w:rsid w:val="005D2F29"/>
    <w:rPr>
      <w:rFonts w:ascii="Wingdings" w:hAnsi="Wingdings"/>
    </w:rPr>
  </w:style>
  <w:style w:type="character" w:customStyle="1" w:styleId="WW8Num10z3">
    <w:name w:val="WW8Num10z3"/>
    <w:rsid w:val="005D2F29"/>
    <w:rPr>
      <w:rFonts w:ascii="Symbol" w:hAnsi="Symbol"/>
    </w:rPr>
  </w:style>
  <w:style w:type="paragraph" w:customStyle="1" w:styleId="29">
    <w:name w:val="Название2"/>
    <w:basedOn w:val="1d"/>
    <w:next w:val="afe"/>
    <w:rsid w:val="005D2F29"/>
    <w:pPr>
      <w:widowControl w:val="0"/>
    </w:pPr>
    <w:rPr>
      <w:kern w:val="1"/>
    </w:rPr>
  </w:style>
  <w:style w:type="paragraph" w:customStyle="1" w:styleId="2a">
    <w:name w:val="Указатель2"/>
    <w:basedOn w:val="a0"/>
    <w:rsid w:val="005D2F29"/>
    <w:pPr>
      <w:widowControl w:val="0"/>
      <w:suppressLineNumbers/>
      <w:suppressAutoHyphens/>
      <w:jc w:val="both"/>
    </w:pPr>
    <w:rPr>
      <w:rFonts w:ascii="Arial" w:eastAsia="Calibri" w:hAnsi="Arial" w:cs="Tahoma"/>
      <w:noProof/>
      <w:kern w:val="1"/>
      <w:sz w:val="20"/>
    </w:rPr>
  </w:style>
  <w:style w:type="paragraph" w:customStyle="1" w:styleId="220">
    <w:name w:val="Основной текст с отступом 22"/>
    <w:basedOn w:val="a0"/>
    <w:rsid w:val="005D2F29"/>
    <w:pPr>
      <w:widowControl w:val="0"/>
      <w:suppressAutoHyphens/>
      <w:ind w:left="360"/>
      <w:jc w:val="both"/>
    </w:pPr>
    <w:rPr>
      <w:rFonts w:eastAsia="Calibri"/>
      <w:noProof/>
      <w:kern w:val="1"/>
    </w:rPr>
  </w:style>
  <w:style w:type="character" w:customStyle="1" w:styleId="afff6">
    <w:name w:val="Схема документа Знак"/>
    <w:basedOn w:val="a1"/>
    <w:link w:val="afff7"/>
    <w:semiHidden/>
    <w:rsid w:val="005D2F29"/>
    <w:rPr>
      <w:rFonts w:ascii="Tahoma" w:hAnsi="Tahoma" w:cs="Tahoma"/>
      <w:noProof/>
      <w:kern w:val="1"/>
      <w:sz w:val="20"/>
      <w:szCs w:val="20"/>
      <w:shd w:val="clear" w:color="auto" w:fill="000080"/>
    </w:rPr>
  </w:style>
  <w:style w:type="paragraph" w:styleId="afff7">
    <w:name w:val="Document Map"/>
    <w:basedOn w:val="a0"/>
    <w:link w:val="afff6"/>
    <w:semiHidden/>
    <w:rsid w:val="005D2F29"/>
    <w:pPr>
      <w:widowControl w:val="0"/>
      <w:shd w:val="clear" w:color="auto" w:fill="000080"/>
      <w:suppressAutoHyphens/>
      <w:jc w:val="both"/>
    </w:pPr>
    <w:rPr>
      <w:rFonts w:ascii="Tahoma" w:eastAsia="Calibri" w:hAnsi="Tahoma" w:cs="Tahoma"/>
      <w:noProof/>
      <w:kern w:val="1"/>
      <w:sz w:val="20"/>
      <w:szCs w:val="20"/>
    </w:rPr>
  </w:style>
  <w:style w:type="paragraph" w:styleId="2b">
    <w:name w:val="List 2"/>
    <w:basedOn w:val="a0"/>
    <w:rsid w:val="005D2F29"/>
    <w:pPr>
      <w:widowControl w:val="0"/>
      <w:suppressAutoHyphens/>
      <w:ind w:left="566" w:hanging="283"/>
      <w:jc w:val="both"/>
    </w:pPr>
    <w:rPr>
      <w:rFonts w:ascii="Arial" w:eastAsia="Calibri" w:hAnsi="Arial"/>
      <w:noProof/>
      <w:kern w:val="1"/>
      <w:sz w:val="20"/>
    </w:rPr>
  </w:style>
  <w:style w:type="paragraph" w:styleId="37">
    <w:name w:val="List 3"/>
    <w:basedOn w:val="a0"/>
    <w:rsid w:val="005D2F29"/>
    <w:pPr>
      <w:widowControl w:val="0"/>
      <w:suppressAutoHyphens/>
      <w:ind w:left="849" w:hanging="283"/>
      <w:jc w:val="both"/>
    </w:pPr>
    <w:rPr>
      <w:rFonts w:ascii="Arial" w:eastAsia="Calibri" w:hAnsi="Arial"/>
      <w:noProof/>
      <w:kern w:val="1"/>
      <w:sz w:val="20"/>
    </w:rPr>
  </w:style>
  <w:style w:type="paragraph" w:styleId="2c">
    <w:name w:val="List Bullet 2"/>
    <w:basedOn w:val="a0"/>
    <w:rsid w:val="005D2F29"/>
    <w:pPr>
      <w:widowControl w:val="0"/>
      <w:numPr>
        <w:numId w:val="5"/>
      </w:numPr>
      <w:tabs>
        <w:tab w:val="num" w:pos="1080"/>
      </w:tabs>
      <w:suppressAutoHyphens/>
      <w:jc w:val="both"/>
    </w:pPr>
    <w:rPr>
      <w:rFonts w:ascii="Arial" w:eastAsia="Calibri" w:hAnsi="Arial"/>
      <w:noProof/>
      <w:kern w:val="1"/>
      <w:sz w:val="20"/>
    </w:rPr>
  </w:style>
  <w:style w:type="paragraph" w:styleId="afff8">
    <w:name w:val="List Continue"/>
    <w:basedOn w:val="a0"/>
    <w:rsid w:val="005D2F29"/>
    <w:pPr>
      <w:widowControl w:val="0"/>
      <w:suppressAutoHyphens/>
      <w:spacing w:after="120"/>
      <w:ind w:left="283"/>
      <w:jc w:val="both"/>
    </w:pPr>
    <w:rPr>
      <w:rFonts w:ascii="Arial" w:eastAsia="Calibri" w:hAnsi="Arial"/>
      <w:noProof/>
      <w:kern w:val="1"/>
      <w:sz w:val="20"/>
    </w:rPr>
  </w:style>
  <w:style w:type="paragraph" w:styleId="afff9">
    <w:name w:val="Body Text First Indent"/>
    <w:basedOn w:val="a6"/>
    <w:link w:val="a"/>
    <w:rsid w:val="005D2F29"/>
    <w:pPr>
      <w:widowControl w:val="0"/>
      <w:autoSpaceDE/>
      <w:spacing w:after="120"/>
      <w:ind w:firstLine="210"/>
      <w:jc w:val="left"/>
    </w:pPr>
    <w:rPr>
      <w:rFonts w:ascii="Arial" w:eastAsia="Calibri" w:hAnsi="Arial"/>
      <w:noProof/>
      <w:kern w:val="1"/>
      <w:sz w:val="20"/>
      <w:szCs w:val="24"/>
      <w:lang w:eastAsia="ru-RU"/>
    </w:rPr>
  </w:style>
  <w:style w:type="character" w:customStyle="1" w:styleId="a">
    <w:name w:val="Красная строка Знак"/>
    <w:basedOn w:val="a7"/>
    <w:link w:val="afff9"/>
    <w:rsid w:val="005D2F29"/>
    <w:rPr>
      <w:rFonts w:ascii="Arial" w:hAnsi="Arial"/>
      <w:noProof/>
      <w:kern w:val="1"/>
      <w:szCs w:val="24"/>
    </w:rPr>
  </w:style>
  <w:style w:type="paragraph" w:styleId="2d">
    <w:name w:val="Body Text First Indent 2"/>
    <w:basedOn w:val="af7"/>
    <w:link w:val="2e"/>
    <w:rsid w:val="005D2F29"/>
    <w:pPr>
      <w:widowControl w:val="0"/>
      <w:suppressAutoHyphens/>
      <w:spacing w:after="120"/>
      <w:ind w:left="283" w:firstLine="210"/>
      <w:jc w:val="left"/>
    </w:pPr>
    <w:rPr>
      <w:rFonts w:eastAsia="Calibri" w:cs="Times New Roman"/>
      <w:noProof/>
      <w:kern w:val="1"/>
      <w:sz w:val="20"/>
    </w:rPr>
  </w:style>
  <w:style w:type="character" w:customStyle="1" w:styleId="2e">
    <w:name w:val="Красная строка 2 Знак"/>
    <w:basedOn w:val="af8"/>
    <w:link w:val="2d"/>
    <w:rsid w:val="005D2F29"/>
    <w:rPr>
      <w:noProof/>
      <w:kern w:val="1"/>
      <w:sz w:val="20"/>
    </w:rPr>
  </w:style>
  <w:style w:type="paragraph" w:customStyle="1" w:styleId="Iiiaeuiue">
    <w:name w:val="Ii?iaeuiue"/>
    <w:rsid w:val="005D2F29"/>
    <w:pPr>
      <w:autoSpaceDE w:val="0"/>
      <w:autoSpaceDN w:val="0"/>
      <w:jc w:val="both"/>
    </w:pPr>
    <w:rPr>
      <w:rFonts w:ascii="Times New Roman" w:hAnsi="Times New Roman"/>
      <w:sz w:val="20"/>
      <w:szCs w:val="20"/>
    </w:rPr>
  </w:style>
  <w:style w:type="paragraph" w:customStyle="1" w:styleId="221">
    <w:name w:val="Основной текст 22"/>
    <w:basedOn w:val="a0"/>
    <w:rsid w:val="005D2F29"/>
    <w:pPr>
      <w:overflowPunct w:val="0"/>
      <w:autoSpaceDE w:val="0"/>
      <w:autoSpaceDN w:val="0"/>
      <w:adjustRightInd w:val="0"/>
      <w:ind w:firstLine="708"/>
      <w:jc w:val="both"/>
      <w:textAlignment w:val="baseline"/>
    </w:pPr>
    <w:rPr>
      <w:rFonts w:eastAsia="Calibri"/>
      <w:noProof/>
      <w:szCs w:val="20"/>
    </w:rPr>
  </w:style>
  <w:style w:type="paragraph" w:customStyle="1" w:styleId="230">
    <w:name w:val="Основной текст 23"/>
    <w:basedOn w:val="a0"/>
    <w:rsid w:val="005D2F29"/>
    <w:pPr>
      <w:suppressAutoHyphens/>
      <w:overflowPunct w:val="0"/>
      <w:autoSpaceDE w:val="0"/>
      <w:ind w:firstLine="708"/>
      <w:jc w:val="both"/>
      <w:textAlignment w:val="baseline"/>
    </w:pPr>
    <w:rPr>
      <w:rFonts w:eastAsia="Calibri"/>
      <w:noProof/>
      <w:szCs w:val="20"/>
      <w:lang w:eastAsia="ar-SA"/>
    </w:rPr>
  </w:style>
  <w:style w:type="paragraph" w:customStyle="1" w:styleId="NoSpacing">
    <w:name w:val="No Spacing"/>
    <w:rsid w:val="005D2F29"/>
  </w:style>
  <w:style w:type="paragraph" w:customStyle="1" w:styleId="2f">
    <w:name w:val="Знак2"/>
    <w:basedOn w:val="a0"/>
    <w:rsid w:val="005D2F29"/>
    <w:pPr>
      <w:spacing w:before="100" w:beforeAutospacing="1" w:after="100" w:afterAutospacing="1"/>
    </w:pPr>
    <w:rPr>
      <w:rFonts w:ascii="Tahoma" w:eastAsia="Calibri" w:hAnsi="Tahoma"/>
      <w:sz w:val="20"/>
      <w:szCs w:val="20"/>
      <w:lang w:val="en-US" w:eastAsia="en-US"/>
    </w:rPr>
  </w:style>
  <w:style w:type="paragraph" w:customStyle="1" w:styleId="1f2">
    <w:name w:val="Название объекта1"/>
    <w:basedOn w:val="a0"/>
    <w:next w:val="a0"/>
    <w:rsid w:val="005D2F29"/>
    <w:pPr>
      <w:spacing w:after="200"/>
    </w:pPr>
    <w:rPr>
      <w:rFonts w:eastAsia="Calibri"/>
      <w:b/>
      <w:bCs/>
      <w:color w:val="4F81BD"/>
      <w:kern w:val="1"/>
      <w:sz w:val="18"/>
      <w:szCs w:val="18"/>
    </w:rPr>
  </w:style>
  <w:style w:type="paragraph" w:customStyle="1" w:styleId="111">
    <w:name w:val="1.1.1"/>
    <w:basedOn w:val="3TimesNewRoman120"/>
    <w:link w:val="1110"/>
    <w:rsid w:val="005D2F29"/>
    <w:pPr>
      <w:suppressAutoHyphens w:val="0"/>
    </w:pPr>
    <w:rPr>
      <w:rFonts w:ascii="Times New Roman" w:hAnsi="Times New Roman"/>
      <w:szCs w:val="20"/>
    </w:rPr>
  </w:style>
  <w:style w:type="character" w:customStyle="1" w:styleId="1110">
    <w:name w:val="1.1.1 Знак"/>
    <w:basedOn w:val="3TimesNewRoman12"/>
    <w:link w:val="111"/>
    <w:locked/>
    <w:rsid w:val="005D2F29"/>
    <w:rPr>
      <w:rFonts w:ascii="Times New Roman" w:hAnsi="Times New Roman"/>
      <w:b/>
      <w:bCs/>
      <w:szCs w:val="20"/>
    </w:rPr>
  </w:style>
  <w:style w:type="paragraph" w:customStyle="1" w:styleId="240">
    <w:name w:val="Основной текст 24"/>
    <w:basedOn w:val="a0"/>
    <w:rsid w:val="005D2F29"/>
    <w:pPr>
      <w:overflowPunct w:val="0"/>
      <w:autoSpaceDE w:val="0"/>
      <w:autoSpaceDN w:val="0"/>
      <w:adjustRightInd w:val="0"/>
      <w:ind w:firstLine="708"/>
      <w:jc w:val="both"/>
      <w:textAlignment w:val="baseline"/>
    </w:pPr>
    <w:rPr>
      <w:rFonts w:eastAsia="Calibri"/>
      <w:szCs w:val="20"/>
    </w:rPr>
  </w:style>
  <w:style w:type="paragraph" w:customStyle="1" w:styleId="231">
    <w:name w:val="Основной текст с отступом 23"/>
    <w:basedOn w:val="a0"/>
    <w:rsid w:val="005D2F29"/>
    <w:pPr>
      <w:overflowPunct w:val="0"/>
      <w:autoSpaceDE w:val="0"/>
      <w:autoSpaceDN w:val="0"/>
      <w:adjustRightInd w:val="0"/>
      <w:ind w:firstLine="720"/>
      <w:jc w:val="both"/>
      <w:textAlignment w:val="baseline"/>
    </w:pPr>
    <w:rPr>
      <w:rFonts w:eastAsia="Calibri"/>
      <w:szCs w:val="20"/>
    </w:rPr>
  </w:style>
  <w:style w:type="paragraph" w:customStyle="1" w:styleId="afffa">
    <w:name w:val="Раздел"/>
    <w:basedOn w:val="1"/>
    <w:link w:val="afffb"/>
    <w:rsid w:val="005D2F29"/>
    <w:pPr>
      <w:keepLines w:val="0"/>
      <w:spacing w:before="240" w:after="60"/>
      <w:jc w:val="both"/>
    </w:pPr>
    <w:rPr>
      <w:rFonts w:ascii="Arial" w:eastAsia="Calibri" w:hAnsi="Arial" w:cs="Arial"/>
      <w:noProof/>
      <w:color w:val="auto"/>
      <w:kern w:val="32"/>
      <w:sz w:val="32"/>
      <w:szCs w:val="32"/>
    </w:rPr>
  </w:style>
  <w:style w:type="character" w:customStyle="1" w:styleId="afffb">
    <w:name w:val="Раздел Знак"/>
    <w:basedOn w:val="10"/>
    <w:link w:val="afffa"/>
    <w:locked/>
    <w:rsid w:val="005D2F29"/>
    <w:rPr>
      <w:rFonts w:ascii="Arial" w:hAnsi="Arial" w:cs="Arial"/>
      <w:b/>
      <w:bCs/>
      <w:noProof/>
      <w:kern w:val="32"/>
      <w:sz w:val="32"/>
      <w:szCs w:val="32"/>
    </w:rPr>
  </w:style>
  <w:style w:type="paragraph" w:customStyle="1" w:styleId="250">
    <w:name w:val="Основной текст 25"/>
    <w:basedOn w:val="a0"/>
    <w:rsid w:val="005D2F29"/>
    <w:pPr>
      <w:overflowPunct w:val="0"/>
      <w:autoSpaceDE w:val="0"/>
      <w:autoSpaceDN w:val="0"/>
      <w:adjustRightInd w:val="0"/>
      <w:ind w:firstLine="709"/>
    </w:pPr>
    <w:rPr>
      <w:rFonts w:eastAsia="Calibri"/>
      <w:szCs w:val="20"/>
    </w:rPr>
  </w:style>
  <w:style w:type="paragraph" w:customStyle="1" w:styleId="241">
    <w:name w:val="Основной текст с отступом 24"/>
    <w:basedOn w:val="a0"/>
    <w:rsid w:val="005D2F29"/>
    <w:pPr>
      <w:overflowPunct w:val="0"/>
      <w:autoSpaceDE w:val="0"/>
      <w:autoSpaceDN w:val="0"/>
      <w:adjustRightInd w:val="0"/>
      <w:ind w:firstLine="709"/>
      <w:jc w:val="both"/>
      <w:textAlignment w:val="baseline"/>
    </w:pPr>
    <w:rPr>
      <w:rFonts w:eastAsia="Calibri"/>
      <w:szCs w:val="20"/>
    </w:rPr>
  </w:style>
  <w:style w:type="paragraph" w:customStyle="1" w:styleId="-">
    <w:name w:val="ГД-рисунок"/>
    <w:basedOn w:val="a0"/>
    <w:rsid w:val="005D2F29"/>
    <w:pPr>
      <w:jc w:val="center"/>
    </w:pPr>
    <w:rPr>
      <w:rFonts w:eastAsia="Calibri"/>
      <w:sz w:val="22"/>
    </w:rPr>
  </w:style>
  <w:style w:type="paragraph" w:customStyle="1" w:styleId="-0">
    <w:name w:val="ГД-Текст"/>
    <w:basedOn w:val="a0"/>
    <w:rsid w:val="005D2F29"/>
    <w:pPr>
      <w:jc w:val="both"/>
    </w:pPr>
    <w:rPr>
      <w:rFonts w:eastAsia="Calibri"/>
    </w:rPr>
  </w:style>
  <w:style w:type="paragraph" w:customStyle="1" w:styleId="260">
    <w:name w:val="Основной текст 26"/>
    <w:basedOn w:val="a0"/>
    <w:rsid w:val="005D2F29"/>
    <w:pPr>
      <w:overflowPunct w:val="0"/>
      <w:autoSpaceDE w:val="0"/>
      <w:autoSpaceDN w:val="0"/>
      <w:adjustRightInd w:val="0"/>
      <w:ind w:firstLine="708"/>
      <w:jc w:val="both"/>
      <w:textAlignment w:val="baseline"/>
    </w:pPr>
    <w:rPr>
      <w:rFonts w:eastAsia="Calibri"/>
      <w:szCs w:val="20"/>
    </w:rPr>
  </w:style>
  <w:style w:type="paragraph" w:customStyle="1" w:styleId="251">
    <w:name w:val="Основной текст с отступом 25"/>
    <w:basedOn w:val="a0"/>
    <w:rsid w:val="005D2F29"/>
    <w:pPr>
      <w:overflowPunct w:val="0"/>
      <w:autoSpaceDE w:val="0"/>
      <w:autoSpaceDN w:val="0"/>
      <w:adjustRightInd w:val="0"/>
      <w:ind w:firstLine="720"/>
      <w:jc w:val="both"/>
      <w:textAlignment w:val="baseline"/>
    </w:pPr>
    <w:rPr>
      <w:rFonts w:eastAsia="Calibri"/>
      <w:szCs w:val="20"/>
    </w:rPr>
  </w:style>
  <w:style w:type="character" w:customStyle="1" w:styleId="cmessage-msg-subj">
    <w:name w:val="c_message-msg-subj"/>
    <w:basedOn w:val="a1"/>
    <w:rsid w:val="005D2F29"/>
    <w:rPr>
      <w:rFonts w:cs="Times New Roman"/>
    </w:rPr>
  </w:style>
  <w:style w:type="paragraph" w:customStyle="1" w:styleId="ConsPlusTitle">
    <w:name w:val="ConsPlusTitle"/>
    <w:rsid w:val="005D2F29"/>
    <w:pPr>
      <w:widowControl w:val="0"/>
      <w:autoSpaceDE w:val="0"/>
      <w:autoSpaceDN w:val="0"/>
      <w:adjustRightInd w:val="0"/>
    </w:pPr>
    <w:rPr>
      <w:rFonts w:ascii="Times New Roman" w:hAnsi="Times New Roman"/>
      <w:b/>
      <w:bCs/>
      <w:sz w:val="24"/>
      <w:szCs w:val="24"/>
    </w:rPr>
  </w:style>
  <w:style w:type="paragraph" w:customStyle="1" w:styleId="38">
    <w:name w:val="Абзац списка3"/>
    <w:basedOn w:val="a0"/>
    <w:rsid w:val="005D2F29"/>
    <w:pPr>
      <w:tabs>
        <w:tab w:val="num" w:pos="765"/>
      </w:tabs>
      <w:suppressAutoHyphens/>
      <w:spacing w:after="200" w:line="276" w:lineRule="auto"/>
      <w:ind w:left="720" w:firstLine="709"/>
      <w:jc w:val="both"/>
    </w:pPr>
    <w:rPr>
      <w:rFonts w:ascii="Calibri" w:eastAsia="Calibri" w:hAnsi="Calibri"/>
      <w:sz w:val="22"/>
      <w:szCs w:val="22"/>
    </w:rPr>
  </w:style>
  <w:style w:type="paragraph" w:customStyle="1" w:styleId="msonormalcxsplast">
    <w:name w:val="msonormalcxsplast"/>
    <w:basedOn w:val="a0"/>
    <w:rsid w:val="005D2F29"/>
    <w:pPr>
      <w:spacing w:before="100" w:beforeAutospacing="1" w:after="100" w:afterAutospacing="1"/>
    </w:pPr>
    <w:rPr>
      <w:rFonts w:eastAsia="Calibri"/>
    </w:rPr>
  </w:style>
  <w:style w:type="paragraph" w:customStyle="1" w:styleId="3TimesNewRoman">
    <w:name w:val="Заголовок 3 + Times New Roman"/>
    <w:aliases w:val="12 пт,Перед:  0 пт,После:  0 пт"/>
    <w:basedOn w:val="af5"/>
    <w:link w:val="3TimesNewRoman0"/>
    <w:rsid w:val="005D2F29"/>
    <w:pPr>
      <w:spacing w:before="0" w:after="0"/>
      <w:outlineLvl w:val="0"/>
    </w:pPr>
    <w:rPr>
      <w:rFonts w:ascii="Times New Roman" w:eastAsia="Calibri" w:hAnsi="Times New Roman" w:cs="Times New Roman"/>
      <w:iCs w:val="0"/>
      <w:sz w:val="24"/>
      <w:szCs w:val="24"/>
    </w:rPr>
  </w:style>
  <w:style w:type="character" w:customStyle="1" w:styleId="3TimesNewRoman0">
    <w:name w:val="Заголовок 3 + Times New Roman Знак"/>
    <w:aliases w:val="12 пт Знак,Перед:  0 пт Знак,После:  0 пт Знак"/>
    <w:basedOn w:val="af6"/>
    <w:link w:val="3TimesNewRoman"/>
    <w:locked/>
    <w:rsid w:val="005D2F29"/>
    <w:rPr>
      <w:rFonts w:ascii="Times New Roman" w:hAnsi="Times New Roman"/>
      <w:b/>
      <w:bCs/>
      <w:i/>
      <w:sz w:val="24"/>
      <w:szCs w:val="24"/>
    </w:rPr>
  </w:style>
  <w:style w:type="character" w:customStyle="1" w:styleId="afffc">
    <w:name w:val="Наименование главы Знак Знак"/>
    <w:basedOn w:val="a1"/>
    <w:rsid w:val="005D2F29"/>
    <w:rPr>
      <w:rFonts w:cs="Times New Roman"/>
      <w:b/>
      <w:bCs/>
      <w:sz w:val="24"/>
      <w:szCs w:val="24"/>
    </w:rPr>
  </w:style>
  <w:style w:type="paragraph" w:customStyle="1" w:styleId="270">
    <w:name w:val="Основной текст 27"/>
    <w:basedOn w:val="a0"/>
    <w:rsid w:val="005D2F29"/>
    <w:pPr>
      <w:overflowPunct w:val="0"/>
      <w:autoSpaceDE w:val="0"/>
      <w:autoSpaceDN w:val="0"/>
      <w:adjustRightInd w:val="0"/>
      <w:ind w:firstLine="708"/>
      <w:jc w:val="both"/>
      <w:textAlignment w:val="baseline"/>
    </w:pPr>
    <w:rPr>
      <w:rFonts w:eastAsia="Calibri"/>
      <w:szCs w:val="20"/>
    </w:rPr>
  </w:style>
  <w:style w:type="paragraph" w:customStyle="1" w:styleId="261">
    <w:name w:val="Основной текст с отступом 26"/>
    <w:basedOn w:val="a0"/>
    <w:rsid w:val="005D2F29"/>
    <w:pPr>
      <w:overflowPunct w:val="0"/>
      <w:autoSpaceDE w:val="0"/>
      <w:autoSpaceDN w:val="0"/>
      <w:adjustRightInd w:val="0"/>
      <w:ind w:firstLine="720"/>
      <w:jc w:val="both"/>
      <w:textAlignment w:val="baseline"/>
    </w:pPr>
    <w:rPr>
      <w:rFonts w:eastAsia="Calibri"/>
      <w:szCs w:val="20"/>
    </w:rPr>
  </w:style>
  <w:style w:type="character" w:customStyle="1" w:styleId="afffd">
    <w:name w:val="Знак Знак"/>
    <w:basedOn w:val="a1"/>
    <w:locked/>
    <w:rsid w:val="005D2F29"/>
    <w:rPr>
      <w:rFonts w:ascii="Arial" w:hAnsi="Arial" w:cs="Arial"/>
      <w:b/>
      <w:bCs/>
      <w:sz w:val="26"/>
      <w:szCs w:val="26"/>
      <w:lang w:val="ru-RU" w:eastAsia="ru-RU" w:bidi="ar-SA"/>
    </w:rPr>
  </w:style>
  <w:style w:type="paragraph" w:customStyle="1" w:styleId="316">
    <w:name w:val="Знак3 Знак Знак Знак1"/>
    <w:basedOn w:val="a0"/>
    <w:rsid w:val="005D2F29"/>
    <w:pPr>
      <w:spacing w:after="160" w:line="240" w:lineRule="exact"/>
    </w:pPr>
    <w:rPr>
      <w:rFonts w:ascii="Verdana" w:eastAsia="Calibri" w:hAnsi="Verdana"/>
      <w:sz w:val="20"/>
      <w:szCs w:val="20"/>
      <w:lang w:val="en-US" w:eastAsia="en-US"/>
    </w:rPr>
  </w:style>
  <w:style w:type="paragraph" w:customStyle="1" w:styleId="ConsPlusNonformat">
    <w:name w:val="ConsPlusNonformat"/>
    <w:link w:val="ConsPlusNonformat0"/>
    <w:rsid w:val="005D2F29"/>
    <w:pPr>
      <w:suppressAutoHyphens/>
      <w:autoSpaceDE w:val="0"/>
    </w:pPr>
    <w:rPr>
      <w:rFonts w:ascii="Courier New" w:eastAsia="Times New Roman" w:hAnsi="Courier New" w:cs="Courier New"/>
      <w:sz w:val="20"/>
      <w:szCs w:val="20"/>
      <w:lang w:eastAsia="ar-SA"/>
    </w:rPr>
  </w:style>
  <w:style w:type="character" w:customStyle="1" w:styleId="ConsPlusNonformat0">
    <w:name w:val="ConsPlusNonformat Знак"/>
    <w:basedOn w:val="a1"/>
    <w:link w:val="ConsPlusNonformat"/>
    <w:locked/>
    <w:rsid w:val="005D2F29"/>
    <w:rPr>
      <w:rFonts w:ascii="Courier New" w:eastAsia="Times New Roman" w:hAnsi="Courier New" w:cs="Courier New"/>
      <w:sz w:val="20"/>
      <w:szCs w:val="20"/>
      <w:lang w:eastAsia="ar-SA"/>
    </w:rPr>
  </w:style>
  <w:style w:type="paragraph" w:customStyle="1" w:styleId="1f3">
    <w:name w:val="Без интервала1"/>
    <w:rsid w:val="005D2F29"/>
  </w:style>
  <w:style w:type="paragraph" w:customStyle="1" w:styleId="afffe">
    <w:name w:val="Нормальный"/>
    <w:rsid w:val="005D2F29"/>
    <w:pPr>
      <w:widowControl w:val="0"/>
      <w:autoSpaceDE w:val="0"/>
      <w:autoSpaceDN w:val="0"/>
      <w:adjustRightInd w:val="0"/>
    </w:pPr>
    <w:rPr>
      <w:rFonts w:ascii="Times New Roman" w:hAnsi="Times New Roman"/>
      <w:color w:val="000000"/>
      <w:sz w:val="24"/>
      <w:szCs w:val="24"/>
    </w:rPr>
  </w:style>
  <w:style w:type="paragraph" w:customStyle="1" w:styleId="affff">
    <w:name w:val="Номер таблицы"/>
    <w:basedOn w:val="4"/>
    <w:rsid w:val="005D2F29"/>
    <w:pPr>
      <w:keepNext w:val="0"/>
      <w:keepLines/>
      <w:jc w:val="right"/>
    </w:pPr>
    <w:rPr>
      <w:b w:val="0"/>
      <w:noProof w:val="0"/>
      <w:color w:val="000000"/>
      <w:sz w:val="22"/>
    </w:rPr>
  </w:style>
  <w:style w:type="character" w:styleId="affff0">
    <w:name w:val="Strong"/>
    <w:basedOn w:val="a1"/>
    <w:qFormat/>
    <w:locked/>
    <w:rsid w:val="005D2F29"/>
    <w:rPr>
      <w:rFonts w:cs="Times New Roman"/>
      <w:b/>
      <w:bCs/>
    </w:rPr>
  </w:style>
  <w:style w:type="character" w:customStyle="1" w:styleId="FontStyle31">
    <w:name w:val="Font Style31"/>
    <w:rsid w:val="005D2F29"/>
    <w:rPr>
      <w:rFonts w:ascii="Times New Roman" w:hAnsi="Times New Roman"/>
      <w:b/>
      <w:sz w:val="22"/>
    </w:rPr>
  </w:style>
  <w:style w:type="character" w:customStyle="1" w:styleId="FontStyle28">
    <w:name w:val="Font Style28"/>
    <w:rsid w:val="005D2F29"/>
    <w:rPr>
      <w:rFonts w:ascii="Times New Roman" w:hAnsi="Times New Roman"/>
      <w:b/>
      <w:sz w:val="26"/>
    </w:rPr>
  </w:style>
  <w:style w:type="character" w:styleId="affff1">
    <w:name w:val="Emphasis"/>
    <w:basedOn w:val="a1"/>
    <w:qFormat/>
    <w:locked/>
    <w:rsid w:val="005D2F29"/>
    <w:rPr>
      <w:rFonts w:cs="Times New Roman"/>
      <w:i/>
      <w:iCs/>
    </w:rPr>
  </w:style>
  <w:style w:type="paragraph" w:customStyle="1" w:styleId="320">
    <w:name w:val="Основной текст 32"/>
    <w:basedOn w:val="a0"/>
    <w:rsid w:val="005D2F29"/>
    <w:pPr>
      <w:overflowPunct w:val="0"/>
      <w:autoSpaceDE w:val="0"/>
      <w:autoSpaceDN w:val="0"/>
      <w:adjustRightInd w:val="0"/>
    </w:pPr>
    <w:rPr>
      <w:rFonts w:eastAsia="Calibri"/>
      <w:szCs w:val="20"/>
    </w:rPr>
  </w:style>
  <w:style w:type="character" w:customStyle="1" w:styleId="1f4">
    <w:name w:val="Название Знак1"/>
    <w:basedOn w:val="a1"/>
    <w:rsid w:val="005D2F29"/>
    <w:rPr>
      <w:rFonts w:ascii="Cambria" w:hAnsi="Cambria" w:cs="Times New Roman"/>
      <w:color w:val="17365D"/>
      <w:spacing w:val="5"/>
      <w:kern w:val="28"/>
      <w:sz w:val="52"/>
      <w:szCs w:val="52"/>
    </w:rPr>
  </w:style>
  <w:style w:type="character" w:customStyle="1" w:styleId="1f5">
    <w:name w:val="Подзаголовок Знак1"/>
    <w:basedOn w:val="a1"/>
    <w:rsid w:val="005D2F29"/>
    <w:rPr>
      <w:rFonts w:ascii="Cambria" w:hAnsi="Cambria" w:cs="Times New Roman"/>
      <w:i/>
      <w:iCs/>
      <w:color w:val="4F81BD"/>
      <w:spacing w:val="15"/>
      <w:sz w:val="24"/>
      <w:szCs w:val="24"/>
    </w:rPr>
  </w:style>
  <w:style w:type="character" w:customStyle="1" w:styleId="131">
    <w:name w:val="Знак Знак13"/>
    <w:basedOn w:val="a1"/>
    <w:locked/>
    <w:rsid w:val="005D2F29"/>
    <w:rPr>
      <w:rFonts w:ascii="Arial" w:hAnsi="Arial" w:cs="Times New Roman"/>
      <w:b/>
      <w:kern w:val="2"/>
      <w:sz w:val="24"/>
      <w:szCs w:val="24"/>
      <w:lang w:val="ru-RU" w:eastAsia="ru-RU" w:bidi="ar-SA"/>
    </w:rPr>
  </w:style>
  <w:style w:type="character" w:customStyle="1" w:styleId="710">
    <w:name w:val="Знак Знак71"/>
    <w:basedOn w:val="a1"/>
    <w:locked/>
    <w:rsid w:val="005D2F29"/>
    <w:rPr>
      <w:rFonts w:cs="Times New Roman"/>
      <w:lang w:val="ru-RU" w:eastAsia="ru-RU" w:bidi="ar-SA"/>
    </w:rPr>
  </w:style>
  <w:style w:type="character" w:customStyle="1" w:styleId="62">
    <w:name w:val="Знак Знак6"/>
    <w:basedOn w:val="a1"/>
    <w:locked/>
    <w:rsid w:val="005D2F29"/>
    <w:rPr>
      <w:rFonts w:cs="Times New Roman"/>
      <w:sz w:val="16"/>
      <w:szCs w:val="16"/>
      <w:lang w:val="ru-RU" w:eastAsia="ru-RU" w:bidi="ar-SA"/>
    </w:rPr>
  </w:style>
  <w:style w:type="character" w:customStyle="1" w:styleId="52">
    <w:name w:val="Знак Знак5"/>
    <w:basedOn w:val="a1"/>
    <w:locked/>
    <w:rsid w:val="005D2F29"/>
    <w:rPr>
      <w:rFonts w:cs="Times New Roman"/>
      <w:sz w:val="16"/>
      <w:szCs w:val="16"/>
      <w:lang w:val="ru-RU" w:eastAsia="ru-RU" w:bidi="ar-SA"/>
    </w:rPr>
  </w:style>
  <w:style w:type="character" w:customStyle="1" w:styleId="2f0">
    <w:name w:val="Знак Знак2"/>
    <w:basedOn w:val="a1"/>
    <w:locked/>
    <w:rsid w:val="005D2F29"/>
    <w:rPr>
      <w:rFonts w:ascii="Calibri" w:hAnsi="Calibri" w:cs="Times New Roman"/>
      <w:b/>
      <w:bCs/>
      <w:sz w:val="24"/>
      <w:szCs w:val="24"/>
      <w:lang w:val="ru-RU" w:eastAsia="ru-RU" w:bidi="ar-SA"/>
    </w:rPr>
  </w:style>
  <w:style w:type="paragraph" w:customStyle="1" w:styleId="11110">
    <w:name w:val="Знак1 Знак Знак1 Знак Знак Знак Знак Знак Знак Знак Знак Знак Знак Знак Знак1 Знак Знак Знак Знак Знак Знак1 Знак Знак Знак Знак Знак Знак Знак Знак Знак Знак Знак Знак Знак Знак Знак Знак"/>
    <w:basedOn w:val="a0"/>
    <w:rsid w:val="005D2F29"/>
    <w:pPr>
      <w:spacing w:before="100" w:beforeAutospacing="1" w:after="100" w:afterAutospacing="1"/>
    </w:pPr>
    <w:rPr>
      <w:rFonts w:ascii="Tahoma" w:eastAsia="Calibri" w:hAnsi="Tahoma"/>
      <w:sz w:val="20"/>
      <w:szCs w:val="20"/>
      <w:lang w:val="en-US" w:eastAsia="en-US"/>
    </w:rPr>
  </w:style>
  <w:style w:type="paragraph" w:customStyle="1" w:styleId="44">
    <w:name w:val="Абзац списка4"/>
    <w:basedOn w:val="a0"/>
    <w:rsid w:val="005D2F29"/>
    <w:pPr>
      <w:tabs>
        <w:tab w:val="num" w:pos="765"/>
      </w:tabs>
      <w:suppressAutoHyphens/>
      <w:spacing w:after="200" w:line="276" w:lineRule="auto"/>
      <w:ind w:left="720" w:firstLine="709"/>
      <w:jc w:val="both"/>
    </w:pPr>
    <w:rPr>
      <w:rFonts w:ascii="Calibri" w:eastAsia="Calibri" w:hAnsi="Calibri"/>
      <w:sz w:val="22"/>
      <w:szCs w:val="22"/>
    </w:rPr>
  </w:style>
  <w:style w:type="paragraph" w:customStyle="1" w:styleId="280">
    <w:name w:val="Основной текст 28"/>
    <w:basedOn w:val="a0"/>
    <w:rsid w:val="005D2F29"/>
    <w:pPr>
      <w:overflowPunct w:val="0"/>
      <w:autoSpaceDE w:val="0"/>
      <w:autoSpaceDN w:val="0"/>
      <w:adjustRightInd w:val="0"/>
      <w:ind w:firstLine="708"/>
      <w:jc w:val="both"/>
      <w:textAlignment w:val="baseline"/>
    </w:pPr>
    <w:rPr>
      <w:rFonts w:eastAsia="Calibri"/>
      <w:szCs w:val="20"/>
    </w:rPr>
  </w:style>
  <w:style w:type="paragraph" w:customStyle="1" w:styleId="2f1">
    <w:name w:val="Без интервала2"/>
    <w:rsid w:val="005D2F29"/>
  </w:style>
  <w:style w:type="paragraph" w:customStyle="1" w:styleId="53">
    <w:name w:val="Абзац списка5"/>
    <w:basedOn w:val="a0"/>
    <w:rsid w:val="005D2F29"/>
    <w:pPr>
      <w:tabs>
        <w:tab w:val="num" w:pos="765"/>
      </w:tabs>
      <w:suppressAutoHyphens/>
      <w:spacing w:after="200" w:line="276" w:lineRule="auto"/>
      <w:ind w:left="720" w:firstLine="709"/>
      <w:jc w:val="both"/>
    </w:pPr>
    <w:rPr>
      <w:rFonts w:ascii="Calibri" w:eastAsia="Calibri" w:hAnsi="Calibri"/>
      <w:sz w:val="22"/>
      <w:szCs w:val="22"/>
    </w:rPr>
  </w:style>
  <w:style w:type="paragraph" w:customStyle="1" w:styleId="290">
    <w:name w:val="Основной текст 29"/>
    <w:basedOn w:val="a0"/>
    <w:rsid w:val="005D2F29"/>
    <w:pPr>
      <w:overflowPunct w:val="0"/>
      <w:autoSpaceDE w:val="0"/>
      <w:autoSpaceDN w:val="0"/>
      <w:adjustRightInd w:val="0"/>
      <w:ind w:firstLine="708"/>
      <w:jc w:val="both"/>
      <w:textAlignment w:val="baseline"/>
    </w:pPr>
    <w:rPr>
      <w:rFonts w:eastAsia="Calibri"/>
      <w:szCs w:val="20"/>
    </w:rPr>
  </w:style>
  <w:style w:type="paragraph" w:customStyle="1" w:styleId="39">
    <w:name w:val="Без интервала3"/>
    <w:rsid w:val="005D2F29"/>
  </w:style>
  <w:style w:type="character" w:customStyle="1" w:styleId="NormalWebChar">
    <w:name w:val="Normal (Web) Char"/>
    <w:aliases w:val="Обычный (Web)1 Char,Знак Знак3 Char1,Обычный (веб) Знак1 Char,Обычный (веб) Знак Знак1 Char,Обычный (веб) Знак Знак Знак Char,Знак Знак1 Знак Знак Char1,Обычный (веб) Знак Знак Знак Знак Char,Знак Знак Знак Знак Знак Char1"/>
    <w:basedOn w:val="a1"/>
    <w:locked/>
    <w:rsid w:val="005D2F29"/>
    <w:rPr>
      <w:rFonts w:ascii="Times New Roman" w:hAnsi="Times New Roman" w:cs="Times New Roman"/>
      <w:noProof/>
      <w:color w:val="000000"/>
      <w:sz w:val="24"/>
      <w:szCs w:val="24"/>
      <w:lang w:eastAsia="ru-RU"/>
    </w:rPr>
  </w:style>
  <w:style w:type="paragraph" w:customStyle="1" w:styleId="newsanons">
    <w:name w:val="news_anons"/>
    <w:basedOn w:val="a0"/>
    <w:rsid w:val="005D2F29"/>
    <w:pPr>
      <w:spacing w:before="100" w:beforeAutospacing="1" w:after="100"/>
    </w:pPr>
    <w:rPr>
      <w:rFonts w:eastAsia="Calibri"/>
    </w:rPr>
  </w:style>
  <w:style w:type="paragraph" w:customStyle="1" w:styleId="p3">
    <w:name w:val="p3"/>
    <w:basedOn w:val="a0"/>
    <w:rsid w:val="005D2F29"/>
    <w:pPr>
      <w:spacing w:before="100" w:beforeAutospacing="1" w:after="100" w:afterAutospacing="1"/>
    </w:pPr>
    <w:rPr>
      <w:rFonts w:eastAsia="Calibri"/>
    </w:rPr>
  </w:style>
  <w:style w:type="character" w:customStyle="1" w:styleId="s2">
    <w:name w:val="s2"/>
    <w:basedOn w:val="a1"/>
    <w:rsid w:val="005D2F29"/>
    <w:rPr>
      <w:rFonts w:cs="Times New Roman"/>
    </w:rPr>
  </w:style>
  <w:style w:type="character" w:customStyle="1" w:styleId="58cl">
    <w:name w:val="_58cl"/>
    <w:basedOn w:val="a1"/>
    <w:rsid w:val="005D2F29"/>
    <w:rPr>
      <w:rFonts w:cs="Times New Roman"/>
    </w:rPr>
  </w:style>
  <w:style w:type="character" w:customStyle="1" w:styleId="58cm">
    <w:name w:val="_58cm"/>
    <w:basedOn w:val="a1"/>
    <w:rsid w:val="005D2F29"/>
    <w:rPr>
      <w:rFonts w:cs="Times New Roman"/>
    </w:rPr>
  </w:style>
  <w:style w:type="character" w:customStyle="1" w:styleId="textexposedshow">
    <w:name w:val="text_exposed_show"/>
    <w:basedOn w:val="a1"/>
    <w:rsid w:val="005D2F29"/>
    <w:rPr>
      <w:rFonts w:cs="Times New Roman"/>
    </w:rPr>
  </w:style>
  <w:style w:type="paragraph" w:customStyle="1" w:styleId="p1">
    <w:name w:val="p1"/>
    <w:basedOn w:val="a0"/>
    <w:rsid w:val="005D2F29"/>
    <w:pPr>
      <w:spacing w:before="100" w:beforeAutospacing="1" w:after="100" w:afterAutospacing="1"/>
    </w:pPr>
    <w:rPr>
      <w:rFonts w:eastAsia="Calibri"/>
    </w:rPr>
  </w:style>
  <w:style w:type="character" w:customStyle="1" w:styleId="s10">
    <w:name w:val="s1"/>
    <w:basedOn w:val="a1"/>
    <w:rsid w:val="005D2F29"/>
    <w:rPr>
      <w:rFonts w:cs="Times New Roman"/>
    </w:rPr>
  </w:style>
  <w:style w:type="character" w:customStyle="1" w:styleId="110">
    <w:name w:val="Заголовок 1 Знак1"/>
    <w:aliases w:val="Наименование раздела Знак1,Раздел Договора Знак1,H1 Знак1,&quot;Алмаз&quot; Знак1"/>
    <w:basedOn w:val="a1"/>
    <w:rsid w:val="005D2F29"/>
    <w:rPr>
      <w:rFonts w:ascii="Cambria" w:hAnsi="Cambria" w:cs="Times New Roman"/>
      <w:b/>
      <w:bCs/>
      <w:noProof/>
      <w:color w:val="365F91"/>
      <w:sz w:val="28"/>
      <w:szCs w:val="28"/>
    </w:rPr>
  </w:style>
  <w:style w:type="paragraph" w:customStyle="1" w:styleId="63">
    <w:name w:val="Абзац списка6"/>
    <w:basedOn w:val="a0"/>
    <w:rsid w:val="005D2F29"/>
    <w:pPr>
      <w:tabs>
        <w:tab w:val="num" w:pos="765"/>
      </w:tabs>
      <w:suppressAutoHyphens/>
      <w:spacing w:after="200" w:line="276" w:lineRule="auto"/>
      <w:ind w:left="720" w:firstLine="709"/>
      <w:jc w:val="both"/>
    </w:pPr>
    <w:rPr>
      <w:rFonts w:ascii="Calibri" w:eastAsia="Calibri" w:hAnsi="Calibri"/>
      <w:sz w:val="22"/>
      <w:szCs w:val="22"/>
    </w:rPr>
  </w:style>
  <w:style w:type="paragraph" w:customStyle="1" w:styleId="2100">
    <w:name w:val="Основной текст 210"/>
    <w:basedOn w:val="a0"/>
    <w:rsid w:val="005D2F29"/>
    <w:pPr>
      <w:overflowPunct w:val="0"/>
      <w:autoSpaceDE w:val="0"/>
      <w:autoSpaceDN w:val="0"/>
      <w:adjustRightInd w:val="0"/>
      <w:ind w:firstLine="708"/>
      <w:jc w:val="both"/>
    </w:pPr>
    <w:rPr>
      <w:rFonts w:eastAsia="Calibri"/>
      <w:szCs w:val="20"/>
    </w:rPr>
  </w:style>
  <w:style w:type="paragraph" w:customStyle="1" w:styleId="45">
    <w:name w:val="Без интервала4"/>
    <w:rsid w:val="005D2F29"/>
  </w:style>
  <w:style w:type="paragraph" w:customStyle="1" w:styleId="IeeacC">
    <w:name w:val="I?eeacC"/>
    <w:basedOn w:val="a0"/>
    <w:rsid w:val="005D2F29"/>
    <w:pPr>
      <w:tabs>
        <w:tab w:val="left" w:pos="720"/>
      </w:tabs>
    </w:pPr>
    <w:rPr>
      <w:rFonts w:eastAsia="Calibri"/>
      <w:sz w:val="28"/>
      <w:szCs w:val="20"/>
    </w:rPr>
  </w:style>
  <w:style w:type="character" w:customStyle="1" w:styleId="extended-textshort">
    <w:name w:val="extended-text__short"/>
    <w:basedOn w:val="a1"/>
    <w:rsid w:val="005D2F29"/>
    <w:rPr>
      <w:rFonts w:cs="Times New Roman"/>
    </w:rPr>
  </w:style>
  <w:style w:type="paragraph" w:customStyle="1" w:styleId="73">
    <w:name w:val="Абзац списка7"/>
    <w:basedOn w:val="a0"/>
    <w:rsid w:val="005D2F29"/>
    <w:pPr>
      <w:spacing w:after="200" w:line="276" w:lineRule="auto"/>
      <w:ind w:left="720"/>
    </w:pPr>
    <w:rPr>
      <w:rFonts w:ascii="Calibri" w:eastAsia="Calibri" w:hAnsi="Calibri"/>
      <w:sz w:val="22"/>
      <w:szCs w:val="22"/>
    </w:rPr>
  </w:style>
  <w:style w:type="paragraph" w:customStyle="1" w:styleId="affff2">
    <w:name w:val="Норм текст"/>
    <w:basedOn w:val="a0"/>
    <w:rsid w:val="005D2F29"/>
    <w:pPr>
      <w:autoSpaceDE w:val="0"/>
      <w:autoSpaceDN w:val="0"/>
      <w:adjustRightInd w:val="0"/>
      <w:spacing w:line="264" w:lineRule="auto"/>
      <w:ind w:firstLine="425"/>
      <w:jc w:val="both"/>
    </w:pPr>
    <w:rPr>
      <w:sz w:val="22"/>
      <w:szCs w:val="22"/>
      <w:lang w:eastAsia="en-US"/>
    </w:rPr>
  </w:style>
  <w:style w:type="paragraph" w:customStyle="1" w:styleId="2110">
    <w:name w:val="Основной текст 211"/>
    <w:basedOn w:val="a0"/>
    <w:rsid w:val="005D2F29"/>
    <w:pPr>
      <w:overflowPunct w:val="0"/>
      <w:autoSpaceDE w:val="0"/>
      <w:autoSpaceDN w:val="0"/>
      <w:adjustRightInd w:val="0"/>
      <w:ind w:firstLine="708"/>
      <w:jc w:val="both"/>
    </w:pPr>
    <w:rPr>
      <w:rFonts w:eastAsia="Calibri"/>
      <w:szCs w:val="20"/>
    </w:rPr>
  </w:style>
  <w:style w:type="paragraph" w:customStyle="1" w:styleId="82">
    <w:name w:val="Абзац списка8"/>
    <w:basedOn w:val="a0"/>
    <w:rsid w:val="005D2F29"/>
    <w:pPr>
      <w:spacing w:after="200" w:line="276" w:lineRule="auto"/>
      <w:ind w:left="720"/>
    </w:pPr>
    <w:rPr>
      <w:rFonts w:ascii="Calibri" w:eastAsia="Calibri" w:hAnsi="Calibri"/>
      <w:sz w:val="22"/>
      <w:szCs w:val="22"/>
    </w:rPr>
  </w:style>
  <w:style w:type="character" w:customStyle="1" w:styleId="2f2">
    <w:name w:val="Обычный (веб) Знак2"/>
    <w:aliases w:val="Обычный (Web)1 Знак1,Знак Знак3 Знак1,Обычный (веб) Знак1 Знак1,Обычный (веб) Знак Знак1 Знак1,Обычный (веб) Знак Знак Знак Знак2,Знак Знак1 Знак Знак Знак1,Обычный (веб) Знак Знак Знак Знак Знак1,Знак Знак Знак Знак Знак Знак1"/>
    <w:locked/>
    <w:rsid w:val="005D2F29"/>
    <w:rPr>
      <w:rFonts w:ascii="Times New Roman" w:hAnsi="Times New Roman"/>
      <w:noProof/>
    </w:rPr>
  </w:style>
  <w:style w:type="paragraph" w:customStyle="1" w:styleId="bodytext">
    <w:name w:val="body text"/>
    <w:autoRedefine/>
    <w:semiHidden/>
    <w:rsid w:val="005D2F29"/>
    <w:pPr>
      <w:ind w:firstLine="709"/>
      <w:jc w:val="both"/>
    </w:pPr>
    <w:rPr>
      <w:rFonts w:ascii="Times New Roman" w:hAnsi="Times New Roman"/>
      <w:sz w:val="24"/>
      <w:szCs w:val="20"/>
    </w:rPr>
  </w:style>
  <w:style w:type="character" w:customStyle="1" w:styleId="affff3">
    <w:name w:val="Основной текст_"/>
    <w:basedOn w:val="a1"/>
    <w:link w:val="3a"/>
    <w:locked/>
    <w:rsid w:val="005D2F29"/>
    <w:rPr>
      <w:rFonts w:ascii="Times New Roman" w:hAnsi="Times New Roman"/>
      <w:sz w:val="26"/>
      <w:szCs w:val="26"/>
      <w:shd w:val="clear" w:color="auto" w:fill="FFFFFF"/>
    </w:rPr>
  </w:style>
  <w:style w:type="paragraph" w:customStyle="1" w:styleId="3a">
    <w:name w:val="Основной текст3"/>
    <w:basedOn w:val="a0"/>
    <w:link w:val="affff3"/>
    <w:rsid w:val="005D2F29"/>
    <w:pPr>
      <w:shd w:val="clear" w:color="auto" w:fill="FFFFFF"/>
      <w:spacing w:after="2220" w:line="317" w:lineRule="exact"/>
      <w:ind w:firstLine="560"/>
      <w:jc w:val="both"/>
    </w:pPr>
    <w:rPr>
      <w:rFonts w:eastAsia="Calibri"/>
      <w:sz w:val="26"/>
      <w:szCs w:val="26"/>
    </w:rPr>
  </w:style>
  <w:style w:type="paragraph" w:customStyle="1" w:styleId="paragraph">
    <w:name w:val="paragraph"/>
    <w:basedOn w:val="a0"/>
    <w:rsid w:val="005D2F29"/>
    <w:pPr>
      <w:spacing w:before="100" w:beforeAutospacing="1" w:after="100" w:afterAutospacing="1"/>
    </w:pPr>
    <w:rPr>
      <w:rFonts w:eastAsia="Calibri"/>
    </w:rPr>
  </w:style>
  <w:style w:type="character" w:customStyle="1" w:styleId="normaltextrun">
    <w:name w:val="normaltextrun"/>
    <w:rsid w:val="005D2F29"/>
  </w:style>
  <w:style w:type="paragraph" w:customStyle="1" w:styleId="92">
    <w:name w:val="Абзац списка9"/>
    <w:basedOn w:val="a0"/>
    <w:rsid w:val="005D2F29"/>
    <w:pPr>
      <w:tabs>
        <w:tab w:val="num" w:pos="765"/>
      </w:tabs>
      <w:suppressAutoHyphens/>
      <w:spacing w:after="200" w:line="276" w:lineRule="auto"/>
      <w:ind w:left="720" w:firstLine="709"/>
      <w:jc w:val="both"/>
    </w:pPr>
    <w:rPr>
      <w:rFonts w:ascii="Calibri" w:eastAsia="Calibri" w:hAnsi="Calibri"/>
      <w:sz w:val="22"/>
      <w:szCs w:val="22"/>
    </w:rPr>
  </w:style>
  <w:style w:type="paragraph" w:customStyle="1" w:styleId="2120">
    <w:name w:val="Основной текст 212"/>
    <w:basedOn w:val="a0"/>
    <w:rsid w:val="005D2F29"/>
    <w:pPr>
      <w:overflowPunct w:val="0"/>
      <w:autoSpaceDE w:val="0"/>
      <w:autoSpaceDN w:val="0"/>
      <w:adjustRightInd w:val="0"/>
      <w:ind w:firstLine="708"/>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7542293">
      <w:marLeft w:val="0"/>
      <w:marRight w:val="0"/>
      <w:marTop w:val="0"/>
      <w:marBottom w:val="0"/>
      <w:divBdr>
        <w:top w:val="none" w:sz="0" w:space="0" w:color="auto"/>
        <w:left w:val="none" w:sz="0" w:space="0" w:color="auto"/>
        <w:bottom w:val="none" w:sz="0" w:space="0" w:color="auto"/>
        <w:right w:val="none" w:sz="0" w:space="0" w:color="auto"/>
      </w:divBdr>
    </w:div>
    <w:div w:id="315761839">
      <w:bodyDiv w:val="1"/>
      <w:marLeft w:val="0"/>
      <w:marRight w:val="0"/>
      <w:marTop w:val="0"/>
      <w:marBottom w:val="0"/>
      <w:divBdr>
        <w:top w:val="none" w:sz="0" w:space="0" w:color="auto"/>
        <w:left w:val="none" w:sz="0" w:space="0" w:color="auto"/>
        <w:bottom w:val="none" w:sz="0" w:space="0" w:color="auto"/>
        <w:right w:val="none" w:sz="0" w:space="0" w:color="auto"/>
      </w:divBdr>
    </w:div>
    <w:div w:id="402801800">
      <w:bodyDiv w:val="1"/>
      <w:marLeft w:val="0"/>
      <w:marRight w:val="0"/>
      <w:marTop w:val="0"/>
      <w:marBottom w:val="0"/>
      <w:divBdr>
        <w:top w:val="none" w:sz="0" w:space="0" w:color="auto"/>
        <w:left w:val="none" w:sz="0" w:space="0" w:color="auto"/>
        <w:bottom w:val="none" w:sz="0" w:space="0" w:color="auto"/>
        <w:right w:val="none" w:sz="0" w:space="0" w:color="auto"/>
      </w:divBdr>
    </w:div>
    <w:div w:id="829054551">
      <w:bodyDiv w:val="1"/>
      <w:marLeft w:val="0"/>
      <w:marRight w:val="0"/>
      <w:marTop w:val="0"/>
      <w:marBottom w:val="0"/>
      <w:divBdr>
        <w:top w:val="none" w:sz="0" w:space="0" w:color="auto"/>
        <w:left w:val="none" w:sz="0" w:space="0" w:color="auto"/>
        <w:bottom w:val="none" w:sz="0" w:space="0" w:color="auto"/>
        <w:right w:val="none" w:sz="0" w:space="0" w:color="auto"/>
      </w:divBdr>
    </w:div>
    <w:div w:id="939265206">
      <w:bodyDiv w:val="1"/>
      <w:marLeft w:val="0"/>
      <w:marRight w:val="0"/>
      <w:marTop w:val="0"/>
      <w:marBottom w:val="0"/>
      <w:divBdr>
        <w:top w:val="none" w:sz="0" w:space="0" w:color="auto"/>
        <w:left w:val="none" w:sz="0" w:space="0" w:color="auto"/>
        <w:bottom w:val="none" w:sz="0" w:space="0" w:color="auto"/>
        <w:right w:val="none" w:sz="0" w:space="0" w:color="auto"/>
      </w:divBdr>
      <w:divsChild>
        <w:div w:id="3284185">
          <w:marLeft w:val="446"/>
          <w:marRight w:val="0"/>
          <w:marTop w:val="0"/>
          <w:marBottom w:val="0"/>
          <w:divBdr>
            <w:top w:val="none" w:sz="0" w:space="0" w:color="auto"/>
            <w:left w:val="none" w:sz="0" w:space="0" w:color="auto"/>
            <w:bottom w:val="none" w:sz="0" w:space="0" w:color="auto"/>
            <w:right w:val="none" w:sz="0" w:space="0" w:color="auto"/>
          </w:divBdr>
        </w:div>
      </w:divsChild>
    </w:div>
    <w:div w:id="1350713444">
      <w:bodyDiv w:val="1"/>
      <w:marLeft w:val="0"/>
      <w:marRight w:val="0"/>
      <w:marTop w:val="0"/>
      <w:marBottom w:val="0"/>
      <w:divBdr>
        <w:top w:val="none" w:sz="0" w:space="0" w:color="auto"/>
        <w:left w:val="none" w:sz="0" w:space="0" w:color="auto"/>
        <w:bottom w:val="none" w:sz="0" w:space="0" w:color="auto"/>
        <w:right w:val="none" w:sz="0" w:space="0" w:color="auto"/>
      </w:divBdr>
      <w:divsChild>
        <w:div w:id="1052777256">
          <w:marLeft w:val="0"/>
          <w:marRight w:val="0"/>
          <w:marTop w:val="522"/>
          <w:marBottom w:val="0"/>
          <w:divBdr>
            <w:top w:val="none" w:sz="0" w:space="0" w:color="auto"/>
            <w:left w:val="none" w:sz="0" w:space="0" w:color="auto"/>
            <w:bottom w:val="none" w:sz="0" w:space="0" w:color="auto"/>
            <w:right w:val="none" w:sz="0" w:space="0" w:color="auto"/>
          </w:divBdr>
          <w:divsChild>
            <w:div w:id="1102605748">
              <w:marLeft w:val="0"/>
              <w:marRight w:val="0"/>
              <w:marTop w:val="0"/>
              <w:marBottom w:val="0"/>
              <w:divBdr>
                <w:top w:val="none" w:sz="0" w:space="0" w:color="auto"/>
                <w:left w:val="none" w:sz="0" w:space="0" w:color="auto"/>
                <w:bottom w:val="none" w:sz="0" w:space="0" w:color="auto"/>
                <w:right w:val="none" w:sz="0" w:space="0" w:color="auto"/>
              </w:divBdr>
              <w:divsChild>
                <w:div w:id="1065571245">
                  <w:marLeft w:val="0"/>
                  <w:marRight w:val="0"/>
                  <w:marTop w:val="261"/>
                  <w:marBottom w:val="522"/>
                  <w:divBdr>
                    <w:top w:val="none" w:sz="0" w:space="0" w:color="auto"/>
                    <w:left w:val="none" w:sz="0" w:space="0" w:color="auto"/>
                    <w:bottom w:val="none" w:sz="0" w:space="0" w:color="auto"/>
                    <w:right w:val="none" w:sz="0" w:space="0" w:color="auto"/>
                  </w:divBdr>
                  <w:divsChild>
                    <w:div w:id="1966426579">
                      <w:marLeft w:val="0"/>
                      <w:marRight w:val="0"/>
                      <w:marTop w:val="52"/>
                      <w:marBottom w:val="0"/>
                      <w:divBdr>
                        <w:top w:val="none" w:sz="0" w:space="0" w:color="auto"/>
                        <w:left w:val="none" w:sz="0" w:space="0" w:color="auto"/>
                        <w:bottom w:val="none" w:sz="0" w:space="0" w:color="auto"/>
                        <w:right w:val="none" w:sz="0" w:space="0" w:color="auto"/>
                      </w:divBdr>
                      <w:divsChild>
                        <w:div w:id="1329745548">
                          <w:marLeft w:val="0"/>
                          <w:marRight w:val="0"/>
                          <w:marTop w:val="0"/>
                          <w:marBottom w:val="522"/>
                          <w:divBdr>
                            <w:top w:val="none" w:sz="0" w:space="0" w:color="auto"/>
                            <w:left w:val="none" w:sz="0" w:space="0" w:color="auto"/>
                            <w:bottom w:val="none" w:sz="0" w:space="0" w:color="auto"/>
                            <w:right w:val="none" w:sz="0" w:space="0" w:color="auto"/>
                          </w:divBdr>
                          <w:divsChild>
                            <w:div w:id="168913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384387">
      <w:bodyDiv w:val="1"/>
      <w:marLeft w:val="0"/>
      <w:marRight w:val="0"/>
      <w:marTop w:val="0"/>
      <w:marBottom w:val="0"/>
      <w:divBdr>
        <w:top w:val="none" w:sz="0" w:space="0" w:color="auto"/>
        <w:left w:val="none" w:sz="0" w:space="0" w:color="auto"/>
        <w:bottom w:val="none" w:sz="0" w:space="0" w:color="auto"/>
        <w:right w:val="none" w:sz="0" w:space="0" w:color="auto"/>
      </w:divBdr>
      <w:divsChild>
        <w:div w:id="1982422068">
          <w:marLeft w:val="0"/>
          <w:marRight w:val="0"/>
          <w:marTop w:val="0"/>
          <w:marBottom w:val="0"/>
          <w:divBdr>
            <w:top w:val="none" w:sz="0" w:space="0" w:color="auto"/>
            <w:left w:val="none" w:sz="0" w:space="0" w:color="auto"/>
            <w:bottom w:val="none" w:sz="0" w:space="0" w:color="auto"/>
            <w:right w:val="none" w:sz="0" w:space="0" w:color="auto"/>
          </w:divBdr>
          <w:divsChild>
            <w:div w:id="85541338">
              <w:marLeft w:val="0"/>
              <w:marRight w:val="0"/>
              <w:marTop w:val="0"/>
              <w:marBottom w:val="0"/>
              <w:divBdr>
                <w:top w:val="none" w:sz="0" w:space="0" w:color="auto"/>
                <w:left w:val="none" w:sz="0" w:space="0" w:color="auto"/>
                <w:bottom w:val="none" w:sz="0" w:space="0" w:color="auto"/>
                <w:right w:val="none" w:sz="0" w:space="0" w:color="auto"/>
              </w:divBdr>
              <w:divsChild>
                <w:div w:id="747382543">
                  <w:marLeft w:val="0"/>
                  <w:marRight w:val="0"/>
                  <w:marTop w:val="0"/>
                  <w:marBottom w:val="0"/>
                  <w:divBdr>
                    <w:top w:val="none" w:sz="0" w:space="0" w:color="auto"/>
                    <w:left w:val="none" w:sz="0" w:space="0" w:color="auto"/>
                    <w:bottom w:val="none" w:sz="0" w:space="0" w:color="auto"/>
                    <w:right w:val="none" w:sz="0" w:space="0" w:color="auto"/>
                  </w:divBdr>
                  <w:divsChild>
                    <w:div w:id="174799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header" Target="header3.xml"/><Relationship Id="rId10" Type="http://schemas.openxmlformats.org/officeDocument/2006/relationships/chart" Target="charts/chart3.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emf"/><Relationship Id="rId22" Type="http://schemas.openxmlformats.org/officeDocument/2006/relationships/footer" Target="footer2.xml"/><Relationship Id="rId27"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lang val="ru-RU"/>
  <c:style val="1"/>
  <c:chart>
    <c:plotArea>
      <c:layout/>
      <c:lineChart>
        <c:grouping val="standard"/>
        <c:ser>
          <c:idx val="0"/>
          <c:order val="0"/>
          <c:tx>
            <c:strRef>
              <c:f>Лист1!$B$1</c:f>
              <c:strCache>
                <c:ptCount val="1"/>
                <c:pt idx="0">
                  <c:v>удельный вес проб воды, несоответствующих требованиям гигиенических нормативов по санитарно-химическим показателям,% </c:v>
                </c:pt>
              </c:strCache>
            </c:strRef>
          </c:tx>
          <c:dLbls>
            <c:showVal val="1"/>
          </c:dLbls>
          <c:cat>
            <c:numRef>
              <c:f>Лист1!$A$2:$A$4</c:f>
              <c:numCache>
                <c:formatCode>General</c:formatCode>
                <c:ptCount val="3"/>
                <c:pt idx="0">
                  <c:v>2017</c:v>
                </c:pt>
                <c:pt idx="1">
                  <c:v>2018</c:v>
                </c:pt>
                <c:pt idx="2">
                  <c:v>2019</c:v>
                </c:pt>
              </c:numCache>
            </c:numRef>
          </c:cat>
          <c:val>
            <c:numRef>
              <c:f>Лист1!$B$2:$B$4</c:f>
              <c:numCache>
                <c:formatCode>General</c:formatCode>
                <c:ptCount val="3"/>
                <c:pt idx="0">
                  <c:v>27.3</c:v>
                </c:pt>
                <c:pt idx="1">
                  <c:v>28.3</c:v>
                </c:pt>
                <c:pt idx="2">
                  <c:v>24.3</c:v>
                </c:pt>
              </c:numCache>
            </c:numRef>
          </c:val>
        </c:ser>
        <c:ser>
          <c:idx val="1"/>
          <c:order val="1"/>
          <c:tx>
            <c:strRef>
              <c:f>Лист1!$C$1</c:f>
              <c:strCache>
                <c:ptCount val="1"/>
                <c:pt idx="0">
                  <c:v>удельный вес проб воды, несоответствующих требованиям гигиенических нормативов по микробиологическим показателям,% </c:v>
                </c:pt>
              </c:strCache>
            </c:strRef>
          </c:tx>
          <c:dLbls>
            <c:showVal val="1"/>
          </c:dLbls>
          <c:cat>
            <c:numRef>
              <c:f>Лист1!$A$2:$A$4</c:f>
              <c:numCache>
                <c:formatCode>General</c:formatCode>
                <c:ptCount val="3"/>
                <c:pt idx="0">
                  <c:v>2017</c:v>
                </c:pt>
                <c:pt idx="1">
                  <c:v>2018</c:v>
                </c:pt>
                <c:pt idx="2">
                  <c:v>2019</c:v>
                </c:pt>
              </c:numCache>
            </c:numRef>
          </c:cat>
          <c:val>
            <c:numRef>
              <c:f>Лист1!$C$2:$C$4</c:f>
              <c:numCache>
                <c:formatCode>General</c:formatCode>
                <c:ptCount val="3"/>
                <c:pt idx="0">
                  <c:v>5.7</c:v>
                </c:pt>
                <c:pt idx="1">
                  <c:v>4.7</c:v>
                </c:pt>
                <c:pt idx="2">
                  <c:v>7</c:v>
                </c:pt>
              </c:numCache>
            </c:numRef>
          </c:val>
        </c:ser>
        <c:marker val="1"/>
        <c:axId val="86566784"/>
        <c:axId val="86568320"/>
      </c:lineChart>
      <c:catAx>
        <c:axId val="86566784"/>
        <c:scaling>
          <c:orientation val="minMax"/>
        </c:scaling>
        <c:axPos val="b"/>
        <c:numFmt formatCode="General" sourceLinked="1"/>
        <c:tickLblPos val="nextTo"/>
        <c:crossAx val="86568320"/>
        <c:crosses val="autoZero"/>
        <c:auto val="1"/>
        <c:lblAlgn val="ctr"/>
        <c:lblOffset val="100"/>
      </c:catAx>
      <c:valAx>
        <c:axId val="86568320"/>
        <c:scaling>
          <c:orientation val="minMax"/>
        </c:scaling>
        <c:axPos val="l"/>
        <c:majorGridlines/>
        <c:numFmt formatCode="General" sourceLinked="1"/>
        <c:tickLblPos val="nextTo"/>
        <c:crossAx val="86566784"/>
        <c:crosses val="autoZero"/>
        <c:crossBetween val="between"/>
      </c:valAx>
    </c:plotArea>
    <c:legend>
      <c:legendPos val="r"/>
      <c:layout>
        <c:manualLayout>
          <c:xMode val="edge"/>
          <c:yMode val="edge"/>
          <c:x val="0.66440217391304368"/>
          <c:y val="0.1428571428571429"/>
          <c:w val="0.31929347826086962"/>
          <c:h val="0.69285714285714273"/>
        </c:manualLayout>
      </c:layout>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7.849827250146009E-2"/>
          <c:y val="3.893943812578983E-2"/>
          <c:w val="0.90102389078498291"/>
          <c:h val="0.70440251572327039"/>
        </c:manualLayout>
      </c:layout>
      <c:barChart>
        <c:barDir val="col"/>
        <c:grouping val="clustered"/>
        <c:ser>
          <c:idx val="0"/>
          <c:order val="0"/>
          <c:tx>
            <c:strRef>
              <c:f>Sheet1!$A$2</c:f>
              <c:strCache>
                <c:ptCount val="1"/>
                <c:pt idx="0">
                  <c:v>число исследований</c:v>
                </c:pt>
              </c:strCache>
            </c:strRef>
          </c:tx>
          <c:spPr>
            <a:pattFill prst="diagBrick">
              <a:fgClr>
                <a:srgbClr val="333333"/>
              </a:fgClr>
              <a:bgClr>
                <a:srgbClr val="FFFFFF"/>
              </a:bgClr>
            </a:pattFill>
            <a:ln w="12190">
              <a:solidFill>
                <a:srgbClr val="000000"/>
              </a:solidFill>
              <a:prstDash val="solid"/>
            </a:ln>
          </c:spPr>
          <c:dLbls>
            <c:dLbl>
              <c:idx val="1"/>
              <c:layout>
                <c:manualLayout>
                  <c:x val="2.2604891708263878E-3"/>
                  <c:y val="-8.8672285954715102E-3"/>
                </c:manualLayout>
              </c:layout>
              <c:dLblPos val="outEnd"/>
              <c:showVal val="1"/>
            </c:dLbl>
            <c:dLbl>
              <c:idx val="2"/>
              <c:layout>
                <c:manualLayout>
                  <c:x val="3.7540122268461102E-3"/>
                  <c:y val="-8.488188173541588E-3"/>
                </c:manualLayout>
              </c:layout>
              <c:dLblPos val="outEnd"/>
              <c:showVal val="1"/>
            </c:dLbl>
            <c:spPr>
              <a:noFill/>
              <a:ln w="24381">
                <a:noFill/>
              </a:ln>
            </c:spPr>
            <c:txPr>
              <a:bodyPr/>
              <a:lstStyle/>
              <a:p>
                <a:pPr>
                  <a:defRPr sz="1056" b="0"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2017</c:v>
                </c:pt>
                <c:pt idx="1">
                  <c:v>2018</c:v>
                </c:pt>
                <c:pt idx="2">
                  <c:v>2019</c:v>
                </c:pt>
              </c:numCache>
            </c:numRef>
          </c:cat>
          <c:val>
            <c:numRef>
              <c:f>Sheet1!$B$2:$D$2</c:f>
              <c:numCache>
                <c:formatCode>General</c:formatCode>
                <c:ptCount val="3"/>
                <c:pt idx="0">
                  <c:v>493</c:v>
                </c:pt>
                <c:pt idx="1">
                  <c:v>585</c:v>
                </c:pt>
                <c:pt idx="2">
                  <c:v>692</c:v>
                </c:pt>
              </c:numCache>
            </c:numRef>
          </c:val>
        </c:ser>
        <c:ser>
          <c:idx val="1"/>
          <c:order val="1"/>
          <c:tx>
            <c:strRef>
              <c:f>Sheet1!$A$3</c:f>
              <c:strCache>
                <c:ptCount val="1"/>
                <c:pt idx="0">
                  <c:v>доля исследований на природные радионуклиды, абс/%</c:v>
                </c:pt>
              </c:strCache>
            </c:strRef>
          </c:tx>
          <c:spPr>
            <a:pattFill prst="pct75">
              <a:fgClr>
                <a:srgbClr val="333333"/>
              </a:fgClr>
              <a:bgClr>
                <a:srgbClr val="FFFFFF"/>
              </a:bgClr>
            </a:pattFill>
            <a:ln w="12190">
              <a:solidFill>
                <a:srgbClr val="000000"/>
              </a:solidFill>
              <a:prstDash val="solid"/>
            </a:ln>
          </c:spPr>
          <c:dLbls>
            <c:dLbl>
              <c:idx val="0"/>
              <c:layout>
                <c:manualLayout>
                  <c:x val="1.3807327129104516E-2"/>
                  <c:y val="7.5982999289305825E-2"/>
                </c:manualLayout>
              </c:layout>
              <c:tx>
                <c:rich>
                  <a:bodyPr/>
                  <a:lstStyle/>
                  <a:p>
                    <a:r>
                      <a:rPr lang="ru-RU"/>
                      <a:t>356/72%
</a:t>
                    </a:r>
                  </a:p>
                </c:rich>
              </c:tx>
              <c:dLblPos val="outEnd"/>
            </c:dLbl>
            <c:dLbl>
              <c:idx val="1"/>
              <c:layout>
                <c:manualLayout>
                  <c:x val="1.2365558223450352E-2"/>
                  <c:y val="3.5849674841600211E-2"/>
                </c:manualLayout>
              </c:layout>
              <c:tx>
                <c:rich>
                  <a:bodyPr/>
                  <a:lstStyle/>
                  <a:p>
                    <a:r>
                      <a:rPr lang="ru-RU"/>
                      <a:t>404/ 69%
</a:t>
                    </a:r>
                  </a:p>
                </c:rich>
              </c:tx>
              <c:dLblPos val="outEnd"/>
            </c:dLbl>
            <c:dLbl>
              <c:idx val="2"/>
              <c:layout>
                <c:manualLayout>
                  <c:x val="1.6788395261200052E-2"/>
                  <c:y val="2.2191575305235134E-2"/>
                </c:manualLayout>
              </c:layout>
              <c:tx>
                <c:rich>
                  <a:bodyPr/>
                  <a:lstStyle/>
                  <a:p>
                    <a:r>
                      <a:rPr lang="ru-RU"/>
                      <a:t>
482/70%
</a:t>
                    </a:r>
                  </a:p>
                </c:rich>
              </c:tx>
              <c:dLblPos val="outEnd"/>
            </c:dLbl>
            <c:spPr>
              <a:noFill/>
              <a:ln w="24381">
                <a:noFill/>
              </a:ln>
            </c:spPr>
            <c:txPr>
              <a:bodyPr/>
              <a:lstStyle/>
              <a:p>
                <a:pPr>
                  <a:defRPr sz="1056" b="0" i="0" u="none" strike="noStrike" baseline="0">
                    <a:solidFill>
                      <a:srgbClr val="000000"/>
                    </a:solidFill>
                    <a:latin typeface="Times New Roman"/>
                    <a:ea typeface="Times New Roman"/>
                    <a:cs typeface="Times New Roman"/>
                  </a:defRPr>
                </a:pPr>
                <a:endParaRPr lang="ru-RU"/>
              </a:p>
            </c:txPr>
            <c:showVal val="1"/>
            <c:showSerName val="1"/>
          </c:dLbls>
          <c:cat>
            <c:numRef>
              <c:f>Sheet1!$B$1:$D$1</c:f>
              <c:numCache>
                <c:formatCode>General</c:formatCode>
                <c:ptCount val="3"/>
                <c:pt idx="0">
                  <c:v>2017</c:v>
                </c:pt>
                <c:pt idx="1">
                  <c:v>2018</c:v>
                </c:pt>
                <c:pt idx="2">
                  <c:v>2019</c:v>
                </c:pt>
              </c:numCache>
            </c:numRef>
          </c:cat>
          <c:val>
            <c:numRef>
              <c:f>Sheet1!$B$3:$D$3</c:f>
              <c:numCache>
                <c:formatCode>General</c:formatCode>
                <c:ptCount val="3"/>
                <c:pt idx="0">
                  <c:v>356</c:v>
                </c:pt>
                <c:pt idx="1">
                  <c:v>404</c:v>
                </c:pt>
                <c:pt idx="2">
                  <c:v>482</c:v>
                </c:pt>
              </c:numCache>
            </c:numRef>
          </c:val>
        </c:ser>
        <c:axId val="84497152"/>
        <c:axId val="84498688"/>
      </c:barChart>
      <c:catAx>
        <c:axId val="84497152"/>
        <c:scaling>
          <c:orientation val="minMax"/>
        </c:scaling>
        <c:axPos val="b"/>
        <c:numFmt formatCode="General" sourceLinked="1"/>
        <c:tickLblPos val="nextTo"/>
        <c:spPr>
          <a:ln w="3048">
            <a:solidFill>
              <a:srgbClr val="000000"/>
            </a:solidFill>
            <a:prstDash val="solid"/>
          </a:ln>
        </c:spPr>
        <c:txPr>
          <a:bodyPr rot="0" vert="horz"/>
          <a:lstStyle/>
          <a:p>
            <a:pPr>
              <a:defRPr sz="1056" b="0" i="0" u="none" strike="noStrike" baseline="0">
                <a:solidFill>
                  <a:srgbClr val="000000"/>
                </a:solidFill>
                <a:latin typeface="Times New Roman"/>
                <a:ea typeface="Times New Roman"/>
                <a:cs typeface="Times New Roman"/>
              </a:defRPr>
            </a:pPr>
            <a:endParaRPr lang="ru-RU"/>
          </a:p>
        </c:txPr>
        <c:crossAx val="84498688"/>
        <c:crosses val="autoZero"/>
        <c:auto val="1"/>
        <c:lblAlgn val="ctr"/>
        <c:lblOffset val="100"/>
        <c:tickLblSkip val="1"/>
        <c:tickMarkSkip val="1"/>
      </c:catAx>
      <c:valAx>
        <c:axId val="84498688"/>
        <c:scaling>
          <c:orientation val="minMax"/>
        </c:scaling>
        <c:axPos val="l"/>
        <c:majorGridlines>
          <c:spPr>
            <a:ln w="3048">
              <a:solidFill>
                <a:srgbClr val="000000"/>
              </a:solidFill>
              <a:prstDash val="solid"/>
            </a:ln>
          </c:spPr>
        </c:majorGridlines>
        <c:numFmt formatCode="General" sourceLinked="1"/>
        <c:tickLblPos val="nextTo"/>
        <c:spPr>
          <a:ln w="3048">
            <a:solidFill>
              <a:srgbClr val="000000"/>
            </a:solidFill>
            <a:prstDash val="solid"/>
          </a:ln>
        </c:spPr>
        <c:txPr>
          <a:bodyPr rot="0" vert="horz"/>
          <a:lstStyle/>
          <a:p>
            <a:pPr>
              <a:defRPr sz="1056" b="0" i="0" u="none" strike="noStrike" baseline="0">
                <a:solidFill>
                  <a:srgbClr val="000000"/>
                </a:solidFill>
                <a:latin typeface="Times New Roman"/>
                <a:ea typeface="Times New Roman"/>
                <a:cs typeface="Times New Roman"/>
              </a:defRPr>
            </a:pPr>
            <a:endParaRPr lang="ru-RU"/>
          </a:p>
        </c:txPr>
        <c:crossAx val="84497152"/>
        <c:crosses val="autoZero"/>
        <c:crossBetween val="between"/>
      </c:valAx>
      <c:spPr>
        <a:pattFill prst="pct5">
          <a:fgClr>
            <a:srgbClr val="FFFFFF"/>
          </a:fgClr>
          <a:bgClr>
            <a:srgbClr val="FFFFFF"/>
          </a:bgClr>
        </a:pattFill>
        <a:ln w="12190">
          <a:solidFill>
            <a:srgbClr val="808080"/>
          </a:solidFill>
          <a:prstDash val="solid"/>
        </a:ln>
      </c:spPr>
    </c:plotArea>
    <c:legend>
      <c:legendPos val="r"/>
      <c:layout>
        <c:manualLayout>
          <c:xMode val="edge"/>
          <c:yMode val="edge"/>
          <c:x val="0.17896174863387979"/>
          <c:y val="0.85933503836317171"/>
          <c:w val="0.68715846994535501"/>
          <c:h val="0.1355498721227622"/>
        </c:manualLayout>
      </c:layout>
      <c:spPr>
        <a:noFill/>
        <a:ln w="3048">
          <a:solidFill>
            <a:srgbClr val="000000"/>
          </a:solidFill>
          <a:prstDash val="solid"/>
        </a:ln>
      </c:spPr>
      <c:txPr>
        <a:bodyPr/>
        <a:lstStyle/>
        <a:p>
          <a:pPr>
            <a:defRPr sz="1056"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368"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style val="1"/>
  <c:chart>
    <c:plotArea>
      <c:layout>
        <c:manualLayout>
          <c:layoutTarget val="inner"/>
          <c:xMode val="edge"/>
          <c:yMode val="edge"/>
          <c:x val="6.6921511048742693E-2"/>
          <c:y val="4.4057617797775513E-2"/>
          <c:w val="0.55922801728992921"/>
          <c:h val="0.66831989751282739"/>
        </c:manualLayout>
      </c:layout>
      <c:lineChart>
        <c:grouping val="standard"/>
        <c:ser>
          <c:idx val="0"/>
          <c:order val="0"/>
          <c:tx>
            <c:strRef>
              <c:f>Лист1!$B$1</c:f>
              <c:strCache>
                <c:ptCount val="1"/>
                <c:pt idx="0">
                  <c:v>удельный вес проб несоответствующих гигигеническим нормативам по санитарно-химическим показателям</c:v>
                </c:pt>
              </c:strCache>
            </c:strRef>
          </c:tx>
          <c:marker>
            <c:symbol val="none"/>
          </c:marker>
          <c:dLbls>
            <c:spPr>
              <a:noFill/>
              <a:ln w="25405">
                <a:noFill/>
              </a:ln>
            </c:spPr>
            <c:showVal val="1"/>
          </c:dLbls>
          <c:cat>
            <c:numRef>
              <c:f>Лист1!$A$2:$A$4</c:f>
              <c:numCache>
                <c:formatCode>General</c:formatCode>
                <c:ptCount val="3"/>
                <c:pt idx="0">
                  <c:v>2017</c:v>
                </c:pt>
                <c:pt idx="1">
                  <c:v>2018</c:v>
                </c:pt>
                <c:pt idx="2">
                  <c:v>2019</c:v>
                </c:pt>
              </c:numCache>
            </c:numRef>
          </c:cat>
          <c:val>
            <c:numRef>
              <c:f>Лист1!$B$2:$B$4</c:f>
              <c:numCache>
                <c:formatCode>General</c:formatCode>
                <c:ptCount val="3"/>
                <c:pt idx="0">
                  <c:v>21</c:v>
                </c:pt>
                <c:pt idx="1">
                  <c:v>18.899999999999999</c:v>
                </c:pt>
                <c:pt idx="2">
                  <c:v>17.100000000000001</c:v>
                </c:pt>
              </c:numCache>
            </c:numRef>
          </c:val>
        </c:ser>
        <c:ser>
          <c:idx val="1"/>
          <c:order val="1"/>
          <c:tx>
            <c:strRef>
              <c:f>Лист1!$C$1</c:f>
              <c:strCache>
                <c:ptCount val="1"/>
                <c:pt idx="0">
                  <c:v>удельный вес проб несоответствующих гигиеническим нормативам по микробиологическимпоказателям</c:v>
                </c:pt>
              </c:strCache>
            </c:strRef>
          </c:tx>
          <c:dLbls>
            <c:spPr>
              <a:noFill/>
              <a:ln w="25405">
                <a:noFill/>
              </a:ln>
            </c:spPr>
            <c:showVal val="1"/>
          </c:dLbls>
          <c:cat>
            <c:numRef>
              <c:f>Лист1!$A$2:$A$4</c:f>
              <c:numCache>
                <c:formatCode>General</c:formatCode>
                <c:ptCount val="3"/>
                <c:pt idx="0">
                  <c:v>2017</c:v>
                </c:pt>
                <c:pt idx="1">
                  <c:v>2018</c:v>
                </c:pt>
                <c:pt idx="2">
                  <c:v>2019</c:v>
                </c:pt>
              </c:numCache>
            </c:numRef>
          </c:cat>
          <c:val>
            <c:numRef>
              <c:f>Лист1!$C$2:$C$4</c:f>
              <c:numCache>
                <c:formatCode>General</c:formatCode>
                <c:ptCount val="3"/>
                <c:pt idx="0">
                  <c:v>30.7</c:v>
                </c:pt>
                <c:pt idx="1">
                  <c:v>23.9</c:v>
                </c:pt>
                <c:pt idx="2">
                  <c:v>27.7</c:v>
                </c:pt>
              </c:numCache>
            </c:numRef>
          </c:val>
        </c:ser>
        <c:marker val="1"/>
        <c:axId val="84733312"/>
        <c:axId val="86520960"/>
      </c:lineChart>
      <c:catAx>
        <c:axId val="84733312"/>
        <c:scaling>
          <c:orientation val="minMax"/>
        </c:scaling>
        <c:axPos val="b"/>
        <c:numFmt formatCode="General" sourceLinked="1"/>
        <c:tickLblPos val="nextTo"/>
        <c:crossAx val="86520960"/>
        <c:crosses val="autoZero"/>
        <c:auto val="1"/>
        <c:lblAlgn val="ctr"/>
        <c:lblOffset val="100"/>
      </c:catAx>
      <c:valAx>
        <c:axId val="86520960"/>
        <c:scaling>
          <c:orientation val="minMax"/>
        </c:scaling>
        <c:axPos val="l"/>
        <c:majorGridlines/>
        <c:numFmt formatCode="General" sourceLinked="1"/>
        <c:tickLblPos val="nextTo"/>
        <c:crossAx val="84733312"/>
        <c:crosses val="autoZero"/>
        <c:crossBetween val="between"/>
      </c:valAx>
    </c:plotArea>
    <c:legend>
      <c:legendPos val="r"/>
      <c:layout>
        <c:manualLayout>
          <c:xMode val="edge"/>
          <c:yMode val="edge"/>
          <c:x val="0.6484687083888151"/>
          <c:y val="0.06"/>
          <c:w val="0.33022636484687096"/>
          <c:h val="0.85333333333333339"/>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style val="1"/>
  <c:chart>
    <c:view3D>
      <c:depthPercent val="100"/>
      <c:rAngAx val="1"/>
    </c:view3D>
    <c:plotArea>
      <c:layout>
        <c:manualLayout>
          <c:layoutTarget val="inner"/>
          <c:xMode val="edge"/>
          <c:yMode val="edge"/>
          <c:x val="6.0706978935325423E-2"/>
          <c:y val="4.6846074620419287E-2"/>
          <c:w val="0.76160172286156558"/>
          <c:h val="0.84745074587195568"/>
        </c:manualLayout>
      </c:layout>
      <c:bar3DChart>
        <c:barDir val="col"/>
        <c:grouping val="clustered"/>
        <c:ser>
          <c:idx val="0"/>
          <c:order val="0"/>
          <c:tx>
            <c:strRef>
              <c:f>Лист1!$B$1</c:f>
              <c:strCache>
                <c:ptCount val="1"/>
                <c:pt idx="0">
                  <c:v>Нижегородская область</c:v>
                </c:pt>
              </c:strCache>
            </c:strRef>
          </c:tx>
          <c:cat>
            <c:numRef>
              <c:f>Лист1!$D$17:$D$21</c:f>
              <c:numCache>
                <c:formatCode>General</c:formatCode>
                <c:ptCount val="5"/>
                <c:pt idx="0">
                  <c:v>2016</c:v>
                </c:pt>
                <c:pt idx="1">
                  <c:v>2017</c:v>
                </c:pt>
                <c:pt idx="2">
                  <c:v>2018</c:v>
                </c:pt>
                <c:pt idx="3">
                  <c:v>2019</c:v>
                </c:pt>
              </c:numCache>
            </c:numRef>
          </c:cat>
          <c:val>
            <c:numRef>
              <c:f>Лист1!$E$17:$E$21</c:f>
              <c:numCache>
                <c:formatCode>General</c:formatCode>
                <c:ptCount val="5"/>
                <c:pt idx="0">
                  <c:v>2.4</c:v>
                </c:pt>
                <c:pt idx="1">
                  <c:v>2.4</c:v>
                </c:pt>
                <c:pt idx="2">
                  <c:v>2.6</c:v>
                </c:pt>
                <c:pt idx="3">
                  <c:v>2.4</c:v>
                </c:pt>
              </c:numCache>
            </c:numRef>
          </c:val>
        </c:ser>
        <c:ser>
          <c:idx val="1"/>
          <c:order val="1"/>
          <c:tx>
            <c:strRef>
              <c:f>Лист1!$C$1</c:f>
              <c:strCache>
                <c:ptCount val="1"/>
                <c:pt idx="0">
                  <c:v>город Нижний Новгород</c:v>
                </c:pt>
              </c:strCache>
            </c:strRef>
          </c:tx>
          <c:cat>
            <c:numRef>
              <c:f>Лист1!$D$17:$D$21</c:f>
              <c:numCache>
                <c:formatCode>General</c:formatCode>
                <c:ptCount val="5"/>
                <c:pt idx="0">
                  <c:v>2016</c:v>
                </c:pt>
                <c:pt idx="1">
                  <c:v>2017</c:v>
                </c:pt>
                <c:pt idx="2">
                  <c:v>2018</c:v>
                </c:pt>
                <c:pt idx="3">
                  <c:v>2019</c:v>
                </c:pt>
              </c:numCache>
            </c:numRef>
          </c:cat>
          <c:val>
            <c:numRef>
              <c:f>Лист1!$F$17:$F$21</c:f>
              <c:numCache>
                <c:formatCode>General</c:formatCode>
                <c:ptCount val="5"/>
                <c:pt idx="0">
                  <c:v>0.9</c:v>
                </c:pt>
                <c:pt idx="1">
                  <c:v>0.9</c:v>
                </c:pt>
                <c:pt idx="2">
                  <c:v>0.60000000000000009</c:v>
                </c:pt>
                <c:pt idx="3">
                  <c:v>1.2</c:v>
                </c:pt>
              </c:numCache>
            </c:numRef>
          </c:val>
        </c:ser>
        <c:ser>
          <c:idx val="2"/>
          <c:order val="2"/>
          <c:tx>
            <c:strRef>
              <c:f>Лист1!$D$1</c:f>
              <c:strCache>
                <c:ptCount val="1"/>
              </c:strCache>
            </c:strRef>
          </c:tx>
          <c:cat>
            <c:numRef>
              <c:f>Лист1!$D$17:$D$21</c:f>
              <c:numCache>
                <c:formatCode>General</c:formatCode>
                <c:ptCount val="5"/>
                <c:pt idx="0">
                  <c:v>2016</c:v>
                </c:pt>
                <c:pt idx="1">
                  <c:v>2017</c:v>
                </c:pt>
                <c:pt idx="2">
                  <c:v>2018</c:v>
                </c:pt>
                <c:pt idx="3">
                  <c:v>2019</c:v>
                </c:pt>
              </c:numCache>
            </c:numRef>
          </c:cat>
          <c:val>
            <c:numRef>
              <c:f>Лист1!$D$2:$D$6</c:f>
              <c:numCache>
                <c:formatCode>General</c:formatCode>
                <c:ptCount val="5"/>
              </c:numCache>
            </c:numRef>
          </c:val>
        </c:ser>
        <c:shape val="box"/>
        <c:axId val="84722432"/>
        <c:axId val="84723968"/>
        <c:axId val="0"/>
      </c:bar3DChart>
      <c:catAx>
        <c:axId val="84722432"/>
        <c:scaling>
          <c:orientation val="minMax"/>
        </c:scaling>
        <c:axPos val="b"/>
        <c:numFmt formatCode="General" sourceLinked="1"/>
        <c:tickLblPos val="nextTo"/>
        <c:crossAx val="84723968"/>
        <c:crosses val="autoZero"/>
        <c:auto val="1"/>
        <c:lblAlgn val="ctr"/>
        <c:lblOffset val="100"/>
      </c:catAx>
      <c:valAx>
        <c:axId val="84723968"/>
        <c:scaling>
          <c:orientation val="minMax"/>
          <c:max val="5"/>
          <c:min val="0"/>
        </c:scaling>
        <c:axPos val="l"/>
        <c:majorGridlines/>
        <c:numFmt formatCode="General" sourceLinked="1"/>
        <c:tickLblPos val="nextTo"/>
        <c:crossAx val="84722432"/>
        <c:crosses val="autoZero"/>
        <c:crossBetween val="between"/>
      </c:valAx>
      <c:spPr>
        <a:noFill/>
        <a:ln w="25390">
          <a:noFill/>
        </a:ln>
      </c:spPr>
    </c:plotArea>
    <c:legend>
      <c:legendPos val="r"/>
      <c:legendEntry>
        <c:idx val="2"/>
        <c:delete val="1"/>
      </c:legendEntry>
      <c:layout>
        <c:manualLayout>
          <c:xMode val="edge"/>
          <c:yMode val="edge"/>
          <c:x val="0.70212765957446821"/>
          <c:y val="0.22437673130193908"/>
          <c:w val="0.2792553191489362"/>
          <c:h val="0.29362880886426601"/>
        </c:manualLayout>
      </c:layout>
      <c:spPr>
        <a:solidFill>
          <a:schemeClr val="bg1"/>
        </a:solidFill>
      </c:spPr>
    </c:legend>
    <c:plotVisOnly val="1"/>
    <c:dispBlanksAs val="gap"/>
  </c:chart>
  <c:spPr>
    <a:solidFill>
      <a:srgbClr val="FFFFFF"/>
    </a:solidFill>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ru-RU"/>
  <c:style val="33"/>
  <c:chart>
    <c:view3D>
      <c:rotX val="10"/>
      <c:rotY val="0"/>
      <c:depthPercent val="100"/>
      <c:perspective val="30"/>
    </c:view3D>
    <c:floor>
      <c:spPr>
        <a:noFill/>
      </c:spPr>
    </c:floor>
    <c:sideWall>
      <c:spPr>
        <a:noFill/>
      </c:spPr>
    </c:sideWall>
    <c:backWall>
      <c:spPr>
        <a:noFill/>
      </c:spPr>
    </c:backWall>
    <c:plotArea>
      <c:layout>
        <c:manualLayout>
          <c:layoutTarget val="inner"/>
          <c:xMode val="edge"/>
          <c:yMode val="edge"/>
          <c:x val="5.5073867061954045E-2"/>
          <c:y val="7.3096344128532068E-2"/>
          <c:w val="0.69317132772196566"/>
          <c:h val="0.7983030782240087"/>
        </c:manualLayout>
      </c:layout>
      <c:bar3DChart>
        <c:barDir val="col"/>
        <c:grouping val="clustered"/>
        <c:ser>
          <c:idx val="0"/>
          <c:order val="0"/>
          <c:tx>
            <c:strRef>
              <c:f>Лист1!$B$1</c:f>
              <c:strCache>
                <c:ptCount val="1"/>
                <c:pt idx="0">
                  <c:v>Нижегородская область</c:v>
                </c:pt>
              </c:strCache>
            </c:strRef>
          </c:tx>
          <c:cat>
            <c:numRef>
              <c:f>Лист1!$A$2:$A$5</c:f>
              <c:numCache>
                <c:formatCode>General</c:formatCode>
                <c:ptCount val="4"/>
                <c:pt idx="0">
                  <c:v>2016</c:v>
                </c:pt>
                <c:pt idx="1">
                  <c:v>2017</c:v>
                </c:pt>
                <c:pt idx="2">
                  <c:v>2018</c:v>
                </c:pt>
                <c:pt idx="3">
                  <c:v>2019</c:v>
                </c:pt>
              </c:numCache>
            </c:numRef>
          </c:cat>
          <c:val>
            <c:numRef>
              <c:f>Лист1!$B$2:$B$5</c:f>
              <c:numCache>
                <c:formatCode>General</c:formatCode>
                <c:ptCount val="4"/>
                <c:pt idx="0">
                  <c:v>10.8</c:v>
                </c:pt>
                <c:pt idx="1">
                  <c:v>10</c:v>
                </c:pt>
                <c:pt idx="2">
                  <c:v>10.200000000000001</c:v>
                </c:pt>
                <c:pt idx="3">
                  <c:v>10</c:v>
                </c:pt>
              </c:numCache>
            </c:numRef>
          </c:val>
        </c:ser>
        <c:ser>
          <c:idx val="1"/>
          <c:order val="1"/>
          <c:tx>
            <c:strRef>
              <c:f>Лист1!$C$1</c:f>
              <c:strCache>
                <c:ptCount val="1"/>
                <c:pt idx="0">
                  <c:v>Нижний Новгород</c:v>
                </c:pt>
              </c:strCache>
            </c:strRef>
          </c:tx>
          <c:cat>
            <c:numRef>
              <c:f>Лист1!$A$2:$A$5</c:f>
              <c:numCache>
                <c:formatCode>General</c:formatCode>
                <c:ptCount val="4"/>
                <c:pt idx="0">
                  <c:v>2016</c:v>
                </c:pt>
                <c:pt idx="1">
                  <c:v>2017</c:v>
                </c:pt>
                <c:pt idx="2">
                  <c:v>2018</c:v>
                </c:pt>
                <c:pt idx="3">
                  <c:v>2019</c:v>
                </c:pt>
              </c:numCache>
            </c:numRef>
          </c:cat>
          <c:val>
            <c:numRef>
              <c:f>Лист1!$C$2:$C$5</c:f>
              <c:numCache>
                <c:formatCode>General</c:formatCode>
                <c:ptCount val="4"/>
                <c:pt idx="0">
                  <c:v>4.5</c:v>
                </c:pt>
                <c:pt idx="1">
                  <c:v>2.4</c:v>
                </c:pt>
                <c:pt idx="2">
                  <c:v>3.8</c:v>
                </c:pt>
                <c:pt idx="3">
                  <c:v>1.3</c:v>
                </c:pt>
              </c:numCache>
            </c:numRef>
          </c:val>
        </c:ser>
        <c:shape val="box"/>
        <c:axId val="84683776"/>
        <c:axId val="84689664"/>
        <c:axId val="0"/>
      </c:bar3DChart>
      <c:catAx>
        <c:axId val="84683776"/>
        <c:scaling>
          <c:orientation val="minMax"/>
        </c:scaling>
        <c:axPos val="b"/>
        <c:numFmt formatCode="General" sourceLinked="1"/>
        <c:tickLblPos val="nextTo"/>
        <c:crossAx val="84689664"/>
        <c:crosses val="autoZero"/>
        <c:auto val="1"/>
        <c:lblAlgn val="ctr"/>
        <c:lblOffset val="100"/>
      </c:catAx>
      <c:valAx>
        <c:axId val="84689664"/>
        <c:scaling>
          <c:orientation val="minMax"/>
        </c:scaling>
        <c:axPos val="l"/>
        <c:majorGridlines/>
        <c:numFmt formatCode="General" sourceLinked="1"/>
        <c:tickLblPos val="nextTo"/>
        <c:crossAx val="84683776"/>
        <c:crosses val="autoZero"/>
        <c:crossBetween val="between"/>
      </c:valAx>
      <c:spPr>
        <a:noFill/>
        <a:ln w="25404">
          <a:noFill/>
        </a:ln>
      </c:spPr>
    </c:plotArea>
    <c:legend>
      <c:legendPos val="r"/>
      <c:layout>
        <c:manualLayout>
          <c:xMode val="edge"/>
          <c:yMode val="edge"/>
          <c:x val="0.71625344352617093"/>
          <c:y val="0.43500000000000005"/>
          <c:w val="0.26584022038567501"/>
          <c:h val="0.19500000000000001"/>
        </c:manualLayout>
      </c:layout>
      <c:txPr>
        <a:bodyPr/>
        <a:lstStyle/>
        <a:p>
          <a:pPr>
            <a:defRPr>
              <a:latin typeface="Times New Roman" pitchFamily="18" charset="0"/>
              <a:cs typeface="Times New Roman" pitchFamily="18" charset="0"/>
            </a:defRPr>
          </a:pPr>
          <a:endParaRPr lang="ru-RU"/>
        </a:p>
      </c:txPr>
    </c:legend>
    <c:plotVisOnly val="1"/>
    <c:dispBlanksAs val="gap"/>
  </c:chart>
  <c:spPr>
    <a:ln w="6351" cap="flat" cmpd="sng" algn="ctr">
      <a:solidFill>
        <a:srgbClr val="000000"/>
      </a:solidFill>
      <a:prstDash val="solid"/>
      <a:miter lim="800000"/>
      <a:headEnd type="none" w="med" len="med"/>
      <a:tailEnd type="none" w="med" len="med"/>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ru-RU"/>
  <c:style val="1"/>
  <c:chart>
    <c:view3D>
      <c:rotX val="10"/>
      <c:rotY val="0"/>
      <c:depthPercent val="100"/>
      <c:perspective val="30"/>
    </c:view3D>
    <c:plotArea>
      <c:layout>
        <c:manualLayout>
          <c:layoutTarget val="inner"/>
          <c:xMode val="edge"/>
          <c:yMode val="edge"/>
          <c:x val="5.9576613268169064E-2"/>
          <c:y val="5.286914135733034E-2"/>
          <c:w val="0.62088315684677353"/>
          <c:h val="0.82783727034120735"/>
        </c:manualLayout>
      </c:layout>
      <c:bar3DChart>
        <c:barDir val="col"/>
        <c:grouping val="clustered"/>
        <c:ser>
          <c:idx val="0"/>
          <c:order val="0"/>
          <c:tx>
            <c:strRef>
              <c:f>Лист1!$B$1</c:f>
              <c:strCache>
                <c:ptCount val="1"/>
                <c:pt idx="0">
                  <c:v>удельный вес проб несоответствующих требованиям гигиенических нормативов по санитарно-химическим показателям</c:v>
                </c:pt>
              </c:strCache>
            </c:strRef>
          </c:tx>
          <c:cat>
            <c:numRef>
              <c:f>Лист1!$A$2:$A$4</c:f>
              <c:numCache>
                <c:formatCode>General</c:formatCode>
                <c:ptCount val="3"/>
                <c:pt idx="0">
                  <c:v>2017</c:v>
                </c:pt>
                <c:pt idx="1">
                  <c:v>2018</c:v>
                </c:pt>
                <c:pt idx="2">
                  <c:v>2019</c:v>
                </c:pt>
              </c:numCache>
            </c:numRef>
          </c:cat>
          <c:val>
            <c:numRef>
              <c:f>Лист1!$B$2:$B$4</c:f>
              <c:numCache>
                <c:formatCode>General</c:formatCode>
                <c:ptCount val="3"/>
                <c:pt idx="0">
                  <c:v>38.4</c:v>
                </c:pt>
                <c:pt idx="1">
                  <c:v>40</c:v>
                </c:pt>
                <c:pt idx="2">
                  <c:v>43.4</c:v>
                </c:pt>
              </c:numCache>
            </c:numRef>
          </c:val>
        </c:ser>
        <c:ser>
          <c:idx val="1"/>
          <c:order val="1"/>
          <c:tx>
            <c:strRef>
              <c:f>Лист1!$C$1</c:f>
              <c:strCache>
                <c:ptCount val="1"/>
                <c:pt idx="0">
                  <c:v>удельный вес проб несоответствующих гигиеническим нормативам по микробиологическим показателям</c:v>
                </c:pt>
              </c:strCache>
            </c:strRef>
          </c:tx>
          <c:cat>
            <c:numRef>
              <c:f>Лист1!$A$2:$A$4</c:f>
              <c:numCache>
                <c:formatCode>General</c:formatCode>
                <c:ptCount val="3"/>
                <c:pt idx="0">
                  <c:v>2017</c:v>
                </c:pt>
                <c:pt idx="1">
                  <c:v>2018</c:v>
                </c:pt>
                <c:pt idx="2">
                  <c:v>2019</c:v>
                </c:pt>
              </c:numCache>
            </c:numRef>
          </c:cat>
          <c:val>
            <c:numRef>
              <c:f>Лист1!$C$2:$C$4</c:f>
              <c:numCache>
                <c:formatCode>General</c:formatCode>
                <c:ptCount val="3"/>
                <c:pt idx="0">
                  <c:v>48.9</c:v>
                </c:pt>
                <c:pt idx="1">
                  <c:v>36.700000000000003</c:v>
                </c:pt>
                <c:pt idx="2">
                  <c:v>42.4</c:v>
                </c:pt>
              </c:numCache>
            </c:numRef>
          </c:val>
        </c:ser>
        <c:shape val="box"/>
        <c:axId val="84595840"/>
        <c:axId val="84597376"/>
        <c:axId val="0"/>
      </c:bar3DChart>
      <c:catAx>
        <c:axId val="84595840"/>
        <c:scaling>
          <c:orientation val="minMax"/>
        </c:scaling>
        <c:axPos val="b"/>
        <c:numFmt formatCode="General" sourceLinked="1"/>
        <c:tickLblPos val="nextTo"/>
        <c:crossAx val="84597376"/>
        <c:crosses val="autoZero"/>
        <c:auto val="1"/>
        <c:lblAlgn val="ctr"/>
        <c:lblOffset val="100"/>
      </c:catAx>
      <c:valAx>
        <c:axId val="84597376"/>
        <c:scaling>
          <c:orientation val="minMax"/>
        </c:scaling>
        <c:axPos val="l"/>
        <c:majorGridlines/>
        <c:numFmt formatCode="General" sourceLinked="1"/>
        <c:tickLblPos val="nextTo"/>
        <c:crossAx val="84595840"/>
        <c:crosses val="autoZero"/>
        <c:crossBetween val="between"/>
      </c:valAx>
      <c:spPr>
        <a:noFill/>
        <a:ln w="25421">
          <a:noFill/>
        </a:ln>
      </c:spPr>
    </c:plotArea>
    <c:legend>
      <c:legendPos val="r"/>
      <c:layout>
        <c:manualLayout>
          <c:xMode val="edge"/>
          <c:yMode val="edge"/>
          <c:x val="0.65369127516778569"/>
          <c:y val="0.23809523809523817"/>
          <c:w val="0.32617449664429538"/>
          <c:h val="0.55820105820105825"/>
        </c:manualLayout>
      </c:layout>
      <c:txPr>
        <a:bodyPr/>
        <a:lstStyle/>
        <a:p>
          <a:pPr>
            <a:defRPr>
              <a:latin typeface="Times New Roman" pitchFamily="18" charset="0"/>
              <a:cs typeface="Times New Roman" pitchFamily="18" charset="0"/>
            </a:defRPr>
          </a:pPr>
          <a:endParaRPr lang="ru-RU"/>
        </a:p>
      </c:txPr>
    </c:legend>
    <c:plotVisOnly val="1"/>
    <c:dispBlanksAs val="gap"/>
  </c:chart>
  <c:spPr>
    <a:ln w="6355" cap="flat" cmpd="sng" algn="ctr">
      <a:solidFill>
        <a:srgbClr val="000000"/>
      </a:solidFill>
      <a:prstDash val="solid"/>
      <a:miter lim="800000"/>
      <a:headEnd type="none" w="med" len="med"/>
      <a:tailEnd type="none" w="med" len="med"/>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ru-RU"/>
  <c:chart>
    <c:view3D>
      <c:depthPercent val="100"/>
      <c:rAngAx val="1"/>
    </c:view3D>
    <c:plotArea>
      <c:layout>
        <c:manualLayout>
          <c:layoutTarget val="inner"/>
          <c:xMode val="edge"/>
          <c:yMode val="edge"/>
          <c:x val="6.3451079031787733E-2"/>
          <c:y val="4.4057617797775533E-2"/>
          <c:w val="0.59292742053076752"/>
          <c:h val="0.85653105861767365"/>
        </c:manualLayout>
      </c:layout>
      <c:bar3DChart>
        <c:barDir val="col"/>
        <c:grouping val="clustered"/>
        <c:ser>
          <c:idx val="0"/>
          <c:order val="0"/>
          <c:tx>
            <c:strRef>
              <c:f>Лист1!$B$1</c:f>
              <c:strCache>
                <c:ptCount val="1"/>
                <c:pt idx="0">
                  <c:v>Количество проб с превышением ПДК (%) в целом по области</c:v>
                </c:pt>
              </c:strCache>
            </c:strRef>
          </c:tx>
          <c:spPr>
            <a:solidFill>
              <a:schemeClr val="tx2"/>
            </a:solidFill>
          </c:spPr>
          <c:cat>
            <c:numRef>
              <c:f>Лист1!$A$2:$A$4</c:f>
              <c:numCache>
                <c:formatCode>General</c:formatCode>
                <c:ptCount val="3"/>
                <c:pt idx="0">
                  <c:v>2017</c:v>
                </c:pt>
                <c:pt idx="1">
                  <c:v>2018</c:v>
                </c:pt>
                <c:pt idx="2">
                  <c:v>2019</c:v>
                </c:pt>
              </c:numCache>
            </c:numRef>
          </c:cat>
          <c:val>
            <c:numRef>
              <c:f>Лист1!$B$2:$B$4</c:f>
              <c:numCache>
                <c:formatCode>General</c:formatCode>
                <c:ptCount val="3"/>
                <c:pt idx="0">
                  <c:v>4.0000000000000008E-2</c:v>
                </c:pt>
                <c:pt idx="1">
                  <c:v>8.0000000000000016E-2</c:v>
                </c:pt>
                <c:pt idx="2">
                  <c:v>6.0000000000000005E-2</c:v>
                </c:pt>
              </c:numCache>
            </c:numRef>
          </c:val>
        </c:ser>
        <c:ser>
          <c:idx val="1"/>
          <c:order val="1"/>
          <c:tx>
            <c:strRef>
              <c:f>Лист1!$C$1</c:f>
              <c:strCache>
                <c:ptCount val="1"/>
                <c:pt idx="0">
                  <c:v>В городских поселениях (%)</c:v>
                </c:pt>
              </c:strCache>
            </c:strRef>
          </c:tx>
          <c:spPr>
            <a:solidFill>
              <a:schemeClr val="tx2">
                <a:lumMod val="60000"/>
                <a:lumOff val="40000"/>
              </a:schemeClr>
            </a:solidFill>
          </c:spPr>
          <c:cat>
            <c:numRef>
              <c:f>Лист1!$A$2:$A$4</c:f>
              <c:numCache>
                <c:formatCode>General</c:formatCode>
                <c:ptCount val="3"/>
                <c:pt idx="0">
                  <c:v>2017</c:v>
                </c:pt>
                <c:pt idx="1">
                  <c:v>2018</c:v>
                </c:pt>
                <c:pt idx="2">
                  <c:v>2019</c:v>
                </c:pt>
              </c:numCache>
            </c:numRef>
          </c:cat>
          <c:val>
            <c:numRef>
              <c:f>Лист1!$C$2:$C$4</c:f>
              <c:numCache>
                <c:formatCode>General</c:formatCode>
                <c:ptCount val="3"/>
                <c:pt idx="0">
                  <c:v>0.1</c:v>
                </c:pt>
                <c:pt idx="1">
                  <c:v>7.0000000000000021E-2</c:v>
                </c:pt>
                <c:pt idx="2">
                  <c:v>4.0000000000000008E-2</c:v>
                </c:pt>
              </c:numCache>
            </c:numRef>
          </c:val>
        </c:ser>
        <c:ser>
          <c:idx val="2"/>
          <c:order val="2"/>
          <c:tx>
            <c:strRef>
              <c:f>Лист1!$D$1</c:f>
              <c:strCache>
                <c:ptCount val="1"/>
                <c:pt idx="0">
                  <c:v>В сельских поселениях (%)</c:v>
                </c:pt>
              </c:strCache>
            </c:strRef>
          </c:tx>
          <c:spPr>
            <a:solidFill>
              <a:schemeClr val="accent1">
                <a:lumMod val="40000"/>
                <a:lumOff val="60000"/>
              </a:schemeClr>
            </a:solidFill>
          </c:spPr>
          <c:cat>
            <c:numRef>
              <c:f>Лист1!$A$2:$A$4</c:f>
              <c:numCache>
                <c:formatCode>General</c:formatCode>
                <c:ptCount val="3"/>
                <c:pt idx="0">
                  <c:v>2017</c:v>
                </c:pt>
                <c:pt idx="1">
                  <c:v>2018</c:v>
                </c:pt>
                <c:pt idx="2">
                  <c:v>2019</c:v>
                </c:pt>
              </c:numCache>
            </c:numRef>
          </c:cat>
          <c:val>
            <c:numRef>
              <c:f>Лист1!$D$2:$D$4</c:f>
              <c:numCache>
                <c:formatCode>General</c:formatCode>
                <c:ptCount val="3"/>
                <c:pt idx="0">
                  <c:v>8.0000000000000016E-2</c:v>
                </c:pt>
                <c:pt idx="1">
                  <c:v>0.1</c:v>
                </c:pt>
                <c:pt idx="2">
                  <c:v>0.19</c:v>
                </c:pt>
              </c:numCache>
            </c:numRef>
          </c:val>
        </c:ser>
        <c:shape val="box"/>
        <c:axId val="84564992"/>
        <c:axId val="84570880"/>
        <c:axId val="0"/>
      </c:bar3DChart>
      <c:catAx>
        <c:axId val="84564992"/>
        <c:scaling>
          <c:orientation val="minMax"/>
        </c:scaling>
        <c:axPos val="b"/>
        <c:numFmt formatCode="General" sourceLinked="1"/>
        <c:tickLblPos val="nextTo"/>
        <c:crossAx val="84570880"/>
        <c:crosses val="autoZero"/>
        <c:auto val="1"/>
        <c:lblAlgn val="ctr"/>
        <c:lblOffset val="100"/>
      </c:catAx>
      <c:valAx>
        <c:axId val="84570880"/>
        <c:scaling>
          <c:orientation val="minMax"/>
        </c:scaling>
        <c:axPos val="l"/>
        <c:majorGridlines/>
        <c:numFmt formatCode="General" sourceLinked="1"/>
        <c:tickLblPos val="nextTo"/>
        <c:crossAx val="84564992"/>
        <c:crosses val="autoZero"/>
        <c:crossBetween val="between"/>
      </c:valAx>
      <c:spPr>
        <a:noFill/>
        <a:ln w="25401">
          <a:noFill/>
        </a:ln>
      </c:spPr>
    </c:plotArea>
    <c:legend>
      <c:legendPos val="r"/>
      <c:layout>
        <c:manualLayout>
          <c:xMode val="edge"/>
          <c:yMode val="edge"/>
          <c:x val="0.66844919786096268"/>
          <c:y val="0.25961538461538453"/>
          <c:w val="0.31149732620320858"/>
          <c:h val="0.5360576923076924"/>
        </c:manualLayout>
      </c:layout>
      <c:txPr>
        <a:bodyPr/>
        <a:lstStyle/>
        <a:p>
          <a:pPr>
            <a:defRPr>
              <a:latin typeface="Times New Roman" pitchFamily="18" charset="0"/>
              <a:cs typeface="Times New Roman" pitchFamily="18" charset="0"/>
            </a:defRPr>
          </a:pPr>
          <a:endParaRPr lang="ru-RU"/>
        </a:p>
      </c:txP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ru-RU"/>
  <c:chart>
    <c:autoTitleDeleted val="1"/>
    <c:view3D>
      <c:rotY val="220"/>
      <c:perspective val="0"/>
    </c:view3D>
    <c:plotArea>
      <c:layout>
        <c:manualLayout>
          <c:layoutTarget val="inner"/>
          <c:xMode val="edge"/>
          <c:yMode val="edge"/>
          <c:x val="0.24123989218328842"/>
          <c:y val="0.11988304093567254"/>
          <c:w val="0.65094339622641528"/>
          <c:h val="0.56140350877192957"/>
        </c:manualLayout>
      </c:layout>
      <c:pie3DChart>
        <c:varyColors val="1"/>
        <c:ser>
          <c:idx val="5"/>
          <c:order val="0"/>
          <c:tx>
            <c:strRef>
              <c:f>Sheet1!$A$2</c:f>
              <c:strCache>
                <c:ptCount val="1"/>
                <c:pt idx="0">
                  <c:v>2018</c:v>
                </c:pt>
              </c:strCache>
            </c:strRef>
          </c:tx>
          <c:spPr>
            <a:pattFill prst="ltUpDiag">
              <a:fgClr>
                <a:srgbClr val="000000"/>
              </a:fgClr>
              <a:bgClr>
                <a:srgbClr val="FFFFFF"/>
              </a:bgClr>
            </a:pattFill>
            <a:ln w="12691">
              <a:solidFill>
                <a:srgbClr val="000000"/>
              </a:solidFill>
              <a:prstDash val="solid"/>
            </a:ln>
          </c:spPr>
          <c:explosion val="14"/>
          <c:dPt>
            <c:idx val="0"/>
            <c:spPr>
              <a:pattFill prst="pct5">
                <a:fgClr>
                  <a:srgbClr val="000000"/>
                </a:fgClr>
                <a:bgClr>
                  <a:srgbClr val="FFFFFF"/>
                </a:bgClr>
              </a:pattFill>
              <a:ln w="12691">
                <a:solidFill>
                  <a:srgbClr val="000000"/>
                </a:solidFill>
                <a:prstDash val="solid"/>
              </a:ln>
            </c:spPr>
          </c:dPt>
          <c:dPt>
            <c:idx val="1"/>
            <c:explosion val="25"/>
            <c:spPr>
              <a:pattFill prst="dashVert">
                <a:fgClr>
                  <a:srgbClr val="000000"/>
                </a:fgClr>
                <a:bgClr>
                  <a:srgbClr val="FFFFFF"/>
                </a:bgClr>
              </a:pattFill>
              <a:ln w="12691">
                <a:solidFill>
                  <a:srgbClr val="000000"/>
                </a:solidFill>
                <a:prstDash val="solid"/>
              </a:ln>
            </c:spPr>
          </c:dPt>
          <c:dPt>
            <c:idx val="2"/>
            <c:explosion val="31"/>
            <c:spPr>
              <a:pattFill prst="wdDnDiag">
                <a:fgClr>
                  <a:srgbClr val="000000"/>
                </a:fgClr>
                <a:bgClr>
                  <a:srgbClr val="FFFFFF"/>
                </a:bgClr>
              </a:pattFill>
              <a:ln w="12691">
                <a:solidFill>
                  <a:srgbClr val="000000"/>
                </a:solidFill>
                <a:prstDash val="solid"/>
              </a:ln>
            </c:spPr>
          </c:dPt>
          <c:dLbls>
            <c:dLbl>
              <c:idx val="0"/>
              <c:layout>
                <c:manualLayout>
                  <c:x val="-7.460451304283354E-2"/>
                  <c:y val="0.14778553978062028"/>
                </c:manualLayout>
              </c:layout>
              <c:numFmt formatCode="0.0%" sourceLinked="0"/>
              <c:spPr>
                <a:solidFill>
                  <a:srgbClr val="FFFFFF"/>
                </a:solidFill>
                <a:ln w="25383">
                  <a:noFill/>
                </a:ln>
              </c:spPr>
              <c:txPr>
                <a:bodyPr/>
                <a:lstStyle/>
                <a:p>
                  <a:pPr>
                    <a:defRPr sz="1099" b="0" i="0" u="none" strike="noStrike" baseline="0">
                      <a:solidFill>
                        <a:srgbClr val="000000"/>
                      </a:solidFill>
                      <a:latin typeface="Times New Roman"/>
                      <a:ea typeface="Times New Roman"/>
                      <a:cs typeface="Times New Roman"/>
                    </a:defRPr>
                  </a:pPr>
                  <a:endParaRPr lang="ru-RU"/>
                </a:p>
              </c:txPr>
              <c:dLblPos val="bestFit"/>
              <c:showCatName val="1"/>
              <c:showPercent val="1"/>
            </c:dLbl>
            <c:dLbl>
              <c:idx val="1"/>
              <c:layout>
                <c:manualLayout>
                  <c:x val="0.29727569415603688"/>
                  <c:y val="8.6133345543515913E-2"/>
                </c:manualLayout>
              </c:layout>
              <c:numFmt formatCode="0.0%" sourceLinked="0"/>
              <c:spPr>
                <a:noFill/>
                <a:ln w="25383">
                  <a:noFill/>
                </a:ln>
              </c:spPr>
              <c:txPr>
                <a:bodyPr/>
                <a:lstStyle/>
                <a:p>
                  <a:pPr>
                    <a:defRPr sz="1099" b="0" i="0" u="none" strike="noStrike" baseline="0">
                      <a:solidFill>
                        <a:srgbClr val="000000"/>
                      </a:solidFill>
                      <a:latin typeface="Times New Roman"/>
                      <a:ea typeface="Times New Roman"/>
                      <a:cs typeface="Times New Roman"/>
                    </a:defRPr>
                  </a:pPr>
                  <a:endParaRPr lang="ru-RU"/>
                </a:p>
              </c:txPr>
              <c:dLblPos val="bestFit"/>
              <c:showCatName val="1"/>
              <c:showPercent val="1"/>
            </c:dLbl>
            <c:dLbl>
              <c:idx val="2"/>
              <c:layout>
                <c:manualLayout>
                  <c:x val="-0.13908037719083124"/>
                  <c:y val="9.7802729751921308E-2"/>
                </c:manualLayout>
              </c:layout>
              <c:numFmt formatCode="0.0%" sourceLinked="0"/>
              <c:spPr>
                <a:noFill/>
                <a:ln w="25383">
                  <a:noFill/>
                </a:ln>
              </c:spPr>
              <c:txPr>
                <a:bodyPr/>
                <a:lstStyle/>
                <a:p>
                  <a:pPr>
                    <a:defRPr sz="1099" b="0" i="0" u="none" strike="noStrike" baseline="0">
                      <a:solidFill>
                        <a:srgbClr val="000000"/>
                      </a:solidFill>
                      <a:latin typeface="Times New Roman"/>
                      <a:ea typeface="Times New Roman"/>
                      <a:cs typeface="Times New Roman"/>
                    </a:defRPr>
                  </a:pPr>
                  <a:endParaRPr lang="ru-RU"/>
                </a:p>
              </c:txPr>
              <c:dLblPos val="bestFit"/>
              <c:showCatName val="1"/>
              <c:showPercent val="1"/>
            </c:dLbl>
            <c:dLbl>
              <c:idx val="3"/>
              <c:layout>
                <c:manualLayout>
                  <c:xMode val="edge"/>
                  <c:yMode val="edge"/>
                  <c:x val="0.42857142857142849"/>
                  <c:y val="2.9239766081871356E-3"/>
                </c:manualLayout>
              </c:layout>
              <c:dLblPos val="bestFit"/>
              <c:showCatName val="1"/>
              <c:showPercent val="1"/>
            </c:dLbl>
            <c:dLbl>
              <c:idx val="4"/>
              <c:dLblPos val="bestFit"/>
              <c:showCatName val="1"/>
              <c:showPercent val="1"/>
            </c:dLbl>
            <c:numFmt formatCode="0%" sourceLinked="0"/>
            <c:spPr>
              <a:noFill/>
              <a:ln w="25383">
                <a:noFill/>
              </a:ln>
            </c:spPr>
            <c:txPr>
              <a:bodyPr/>
              <a:lstStyle/>
              <a:p>
                <a:pPr>
                  <a:defRPr sz="1099" b="0" i="0" u="none" strike="noStrike" baseline="0">
                    <a:solidFill>
                      <a:srgbClr val="000000"/>
                    </a:solidFill>
                    <a:latin typeface="Times New Roman"/>
                    <a:ea typeface="Times New Roman"/>
                    <a:cs typeface="Times New Roman"/>
                  </a:defRPr>
                </a:pPr>
                <a:endParaRPr lang="ru-RU"/>
              </a:p>
            </c:txPr>
            <c:showCatName val="1"/>
            <c:showPercent val="1"/>
            <c:showLeaderLines val="1"/>
            <c:leaderLines>
              <c:spPr>
                <a:ln w="12691">
                  <a:solidFill>
                    <a:srgbClr val="000000"/>
                  </a:solidFill>
                  <a:prstDash val="solid"/>
                </a:ln>
              </c:spPr>
            </c:leaderLines>
          </c:dLbls>
          <c:cat>
            <c:strRef>
              <c:f>Sheet1!$B$1:$D$1</c:f>
              <c:strCache>
                <c:ptCount val="3"/>
                <c:pt idx="0">
                  <c:v>Природные источники</c:v>
                </c:pt>
                <c:pt idx="1">
                  <c:v>Медицинские источники</c:v>
                </c:pt>
                <c:pt idx="2">
                  <c:v>Прочие</c:v>
                </c:pt>
              </c:strCache>
            </c:strRef>
          </c:cat>
          <c:val>
            <c:numRef>
              <c:f>Sheet1!$B$2:$D$2</c:f>
              <c:numCache>
                <c:formatCode>General</c:formatCode>
                <c:ptCount val="3"/>
                <c:pt idx="0">
                  <c:v>88.73</c:v>
                </c:pt>
                <c:pt idx="1">
                  <c:v>11.11</c:v>
                </c:pt>
                <c:pt idx="2">
                  <c:v>0.16</c:v>
                </c:pt>
              </c:numCache>
            </c:numRef>
          </c:val>
        </c:ser>
        <c:dLbls>
          <c:showCatName val="1"/>
          <c:showPercent val="1"/>
        </c:dLbls>
      </c:pie3DChart>
      <c:spPr>
        <a:solidFill>
          <a:srgbClr val="FFFFFF"/>
        </a:solidFill>
        <a:ln w="25383">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799" b="0" i="0" u="none" strike="noStrike" baseline="0">
          <a:solidFill>
            <a:srgbClr val="000000"/>
          </a:solidFill>
          <a:latin typeface="Arial Cyr"/>
          <a:ea typeface="Arial Cyr"/>
          <a:cs typeface="Arial Cyr"/>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5.0420168067226885E-2"/>
          <c:y val="0.14179104477611948"/>
          <c:w val="0.9378151260504205"/>
          <c:h val="0.72388059701492535"/>
        </c:manualLayout>
      </c:layout>
      <c:barChart>
        <c:barDir val="col"/>
        <c:grouping val="clustered"/>
        <c:ser>
          <c:idx val="0"/>
          <c:order val="0"/>
          <c:tx>
            <c:strRef>
              <c:f>Sheet1!$A$2</c:f>
              <c:strCache>
                <c:ptCount val="1"/>
                <c:pt idx="0">
                  <c:v>среднее</c:v>
                </c:pt>
              </c:strCache>
            </c:strRef>
          </c:tx>
          <c:spPr>
            <a:pattFill prst="trellis">
              <a:fgClr>
                <a:srgbClr val="000000"/>
              </a:fgClr>
              <a:bgClr>
                <a:srgbClr val="FFFFFF"/>
              </a:bgClr>
            </a:pattFill>
            <a:ln w="11778">
              <a:solidFill>
                <a:srgbClr val="000000"/>
              </a:solidFill>
              <a:prstDash val="solid"/>
            </a:ln>
          </c:spPr>
          <c:dLbls>
            <c:dLbl>
              <c:idx val="0"/>
              <c:layout>
                <c:manualLayout>
                  <c:x val="2.3434257789129321E-3"/>
                  <c:y val="1.6192435994766004E-2"/>
                </c:manualLayout>
              </c:layout>
              <c:dLblPos val="outEnd"/>
              <c:showVal val="1"/>
            </c:dLbl>
            <c:dLbl>
              <c:idx val="1"/>
              <c:layout>
                <c:manualLayout>
                  <c:x val="-7.0706972869831399E-4"/>
                  <c:y val="1.1173425008664714E-2"/>
                </c:manualLayout>
              </c:layout>
              <c:dLblPos val="outEnd"/>
              <c:showVal val="1"/>
            </c:dLbl>
            <c:dLbl>
              <c:idx val="2"/>
              <c:layout>
                <c:manualLayout>
                  <c:x val="-1.7028533877133784E-3"/>
                  <c:y val="1.7611590990914801E-2"/>
                </c:manualLayout>
              </c:layout>
              <c:dLblPos val="outEnd"/>
              <c:showVal val="1"/>
            </c:dLbl>
            <c:spPr>
              <a:noFill/>
              <a:ln w="23602">
                <a:noFill/>
              </a:ln>
            </c:spPr>
            <c:txPr>
              <a:bodyPr/>
              <a:lstStyle/>
              <a:p>
                <a:pPr>
                  <a:defRPr sz="1022" b="0"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2017</c:v>
                </c:pt>
                <c:pt idx="1">
                  <c:v>2018</c:v>
                </c:pt>
                <c:pt idx="2">
                  <c:v>2019</c:v>
                </c:pt>
              </c:numCache>
            </c:numRef>
          </c:cat>
          <c:val>
            <c:numRef>
              <c:f>Sheet1!$B$2:$D$2</c:f>
              <c:numCache>
                <c:formatCode>General</c:formatCode>
                <c:ptCount val="3"/>
                <c:pt idx="0">
                  <c:v>0.48000000000000004</c:v>
                </c:pt>
                <c:pt idx="1">
                  <c:v>0.4</c:v>
                </c:pt>
                <c:pt idx="2">
                  <c:v>0.44</c:v>
                </c:pt>
              </c:numCache>
            </c:numRef>
          </c:val>
        </c:ser>
        <c:ser>
          <c:idx val="1"/>
          <c:order val="1"/>
          <c:tx>
            <c:strRef>
              <c:f>Sheet1!$A$3</c:f>
              <c:strCache>
                <c:ptCount val="1"/>
                <c:pt idx="0">
                  <c:v>максимальное</c:v>
                </c:pt>
              </c:strCache>
            </c:strRef>
          </c:tx>
          <c:spPr>
            <a:pattFill prst="wdDnDiag">
              <a:fgClr>
                <a:srgbClr val="000000"/>
              </a:fgClr>
              <a:bgClr>
                <a:srgbClr val="FFFFFF"/>
              </a:bgClr>
            </a:pattFill>
            <a:ln w="11778">
              <a:solidFill>
                <a:srgbClr val="000000"/>
              </a:solidFill>
              <a:prstDash val="solid"/>
            </a:ln>
          </c:spPr>
          <c:dLbls>
            <c:dLbl>
              <c:idx val="2"/>
              <c:layout>
                <c:manualLayout>
                  <c:x val="5.4756038617338682E-3"/>
                  <c:y val="-1.6084675307119083E-2"/>
                </c:manualLayout>
              </c:layout>
              <c:dLblPos val="outEnd"/>
              <c:showVal val="1"/>
            </c:dLbl>
            <c:spPr>
              <a:noFill/>
              <a:ln w="23602">
                <a:noFill/>
              </a:ln>
            </c:spPr>
            <c:txPr>
              <a:bodyPr/>
              <a:lstStyle/>
              <a:p>
                <a:pPr>
                  <a:defRPr sz="1022" b="0"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2017</c:v>
                </c:pt>
                <c:pt idx="1">
                  <c:v>2018</c:v>
                </c:pt>
                <c:pt idx="2">
                  <c:v>2019</c:v>
                </c:pt>
              </c:numCache>
            </c:numRef>
          </c:cat>
          <c:val>
            <c:numRef>
              <c:f>Sheet1!$B$3:$D$3</c:f>
              <c:numCache>
                <c:formatCode>General</c:formatCode>
                <c:ptCount val="3"/>
                <c:pt idx="0">
                  <c:v>0.67000000000000015</c:v>
                </c:pt>
                <c:pt idx="1">
                  <c:v>0.64000000000000012</c:v>
                </c:pt>
                <c:pt idx="2">
                  <c:v>0.6100000000000001</c:v>
                </c:pt>
              </c:numCache>
            </c:numRef>
          </c:val>
        </c:ser>
        <c:axId val="84666624"/>
        <c:axId val="86585344"/>
      </c:barChart>
      <c:catAx>
        <c:axId val="84666624"/>
        <c:scaling>
          <c:orientation val="minMax"/>
        </c:scaling>
        <c:axPos val="b"/>
        <c:numFmt formatCode="General" sourceLinked="1"/>
        <c:tickLblPos val="nextTo"/>
        <c:spPr>
          <a:ln w="2945">
            <a:solidFill>
              <a:srgbClr val="000000"/>
            </a:solidFill>
            <a:prstDash val="solid"/>
          </a:ln>
        </c:spPr>
        <c:txPr>
          <a:bodyPr rot="0" vert="horz"/>
          <a:lstStyle/>
          <a:p>
            <a:pPr>
              <a:defRPr sz="1022" b="0" i="0" u="none" strike="noStrike" baseline="0">
                <a:solidFill>
                  <a:srgbClr val="000000"/>
                </a:solidFill>
                <a:latin typeface="Times New Roman"/>
                <a:ea typeface="Times New Roman"/>
                <a:cs typeface="Times New Roman"/>
              </a:defRPr>
            </a:pPr>
            <a:endParaRPr lang="ru-RU"/>
          </a:p>
        </c:txPr>
        <c:crossAx val="86585344"/>
        <c:crosses val="autoZero"/>
        <c:auto val="1"/>
        <c:lblAlgn val="ctr"/>
        <c:lblOffset val="100"/>
        <c:tickLblSkip val="1"/>
        <c:tickMarkSkip val="1"/>
      </c:catAx>
      <c:valAx>
        <c:axId val="86585344"/>
        <c:scaling>
          <c:orientation val="minMax"/>
          <c:max val="1"/>
        </c:scaling>
        <c:axPos val="l"/>
        <c:majorGridlines>
          <c:spPr>
            <a:ln w="2950">
              <a:solidFill>
                <a:srgbClr val="000000"/>
              </a:solidFill>
              <a:prstDash val="solid"/>
            </a:ln>
          </c:spPr>
        </c:majorGridlines>
        <c:title>
          <c:tx>
            <c:rich>
              <a:bodyPr rot="-60000" vert="horz"/>
              <a:lstStyle/>
              <a:p>
                <a:pPr algn="ctr">
                  <a:defRPr sz="1015" b="1" i="0" u="none" strike="noStrike" baseline="0">
                    <a:solidFill>
                      <a:srgbClr val="000000"/>
                    </a:solidFill>
                    <a:latin typeface="Times New Roman" pitchFamily="18" charset="0"/>
                    <a:ea typeface="Arial Cyr"/>
                    <a:cs typeface="Times New Roman" pitchFamily="18" charset="0"/>
                  </a:defRPr>
                </a:pPr>
                <a:r>
                  <a:rPr lang="ru-RU" sz="1022" b="0" i="0" u="none" strike="noStrike" baseline="0">
                    <a:solidFill>
                      <a:srgbClr val="000000"/>
                    </a:solidFill>
                    <a:latin typeface="Times New Roman" pitchFamily="18" charset="0"/>
                    <a:cs typeface="Times New Roman" pitchFamily="18" charset="0"/>
                  </a:rPr>
                  <a:t>кБк/м</a:t>
                </a:r>
                <a:r>
                  <a:rPr lang="ru-RU" sz="1022" b="0" i="0" u="none" strike="noStrike" baseline="30000">
                    <a:solidFill>
                      <a:srgbClr val="000000"/>
                    </a:solidFill>
                    <a:latin typeface="Times New Roman" pitchFamily="18" charset="0"/>
                    <a:cs typeface="Times New Roman" pitchFamily="18" charset="0"/>
                  </a:rPr>
                  <a:t>2</a:t>
                </a:r>
              </a:p>
              <a:p>
                <a:pPr algn="ctr">
                  <a:defRPr sz="1015" b="1" i="0" u="none" strike="noStrike" baseline="0">
                    <a:solidFill>
                      <a:srgbClr val="000000"/>
                    </a:solidFill>
                    <a:latin typeface="Times New Roman" pitchFamily="18" charset="0"/>
                    <a:ea typeface="Arial Cyr"/>
                    <a:cs typeface="Times New Roman" pitchFamily="18" charset="0"/>
                  </a:defRPr>
                </a:pPr>
                <a:endParaRPr lang="ru-RU" sz="1100" b="0" i="0" u="none" strike="noStrike" baseline="30000">
                  <a:solidFill>
                    <a:srgbClr val="000000"/>
                  </a:solidFill>
                  <a:latin typeface="Times New Roman" pitchFamily="18" charset="0"/>
                  <a:cs typeface="Times New Roman" pitchFamily="18" charset="0"/>
                </a:endParaRPr>
              </a:p>
            </c:rich>
          </c:tx>
          <c:layout>
            <c:manualLayout>
              <c:xMode val="edge"/>
              <c:yMode val="edge"/>
              <c:x val="1.0647187620066013E-2"/>
              <c:y val="4.6836872663644315E-2"/>
            </c:manualLayout>
          </c:layout>
          <c:spPr>
            <a:noFill/>
            <a:ln w="23602">
              <a:noFill/>
            </a:ln>
          </c:spPr>
        </c:title>
        <c:numFmt formatCode="General" sourceLinked="1"/>
        <c:tickLblPos val="nextTo"/>
        <c:spPr>
          <a:ln w="2945">
            <a:solidFill>
              <a:srgbClr val="000000"/>
            </a:solidFill>
            <a:prstDash val="solid"/>
          </a:ln>
        </c:spPr>
        <c:txPr>
          <a:bodyPr rot="0" vert="horz"/>
          <a:lstStyle/>
          <a:p>
            <a:pPr>
              <a:defRPr sz="1022" b="0" i="0" u="none" strike="noStrike" baseline="0">
                <a:solidFill>
                  <a:srgbClr val="000000"/>
                </a:solidFill>
                <a:latin typeface="Times New Roman"/>
                <a:ea typeface="Times New Roman"/>
                <a:cs typeface="Times New Roman"/>
              </a:defRPr>
            </a:pPr>
            <a:endParaRPr lang="ru-RU"/>
          </a:p>
        </c:txPr>
        <c:crossAx val="84666624"/>
        <c:crosses val="autoZero"/>
        <c:crossBetween val="between"/>
      </c:valAx>
      <c:spPr>
        <a:pattFill prst="pct5">
          <a:fgClr>
            <a:srgbClr val="FFFFFF"/>
          </a:fgClr>
          <a:bgClr>
            <a:srgbClr val="FFFFFF"/>
          </a:bgClr>
        </a:pattFill>
        <a:ln w="2950">
          <a:solidFill>
            <a:srgbClr val="000000"/>
          </a:solidFill>
          <a:prstDash val="solid"/>
        </a:ln>
      </c:spPr>
    </c:plotArea>
    <c:legend>
      <c:legendPos val="r"/>
      <c:layout>
        <c:manualLayout>
          <c:xMode val="edge"/>
          <c:yMode val="edge"/>
          <c:x val="0.75954738330975968"/>
          <c:y val="3.7837837837837847E-2"/>
          <c:w val="0.2008486562942009"/>
          <c:h val="0.14324324324324325"/>
        </c:manualLayout>
      </c:layout>
      <c:spPr>
        <a:solidFill>
          <a:schemeClr val="bg1"/>
        </a:solidFill>
        <a:ln w="2945">
          <a:solidFill>
            <a:srgbClr val="000000"/>
          </a:solidFill>
          <a:prstDash val="solid"/>
        </a:ln>
      </c:spPr>
      <c:txPr>
        <a:bodyPr/>
        <a:lstStyle/>
        <a:p>
          <a:pPr>
            <a:defRPr sz="1022" b="0" i="0" u="none" strike="noStrike" baseline="0">
              <a:solidFill>
                <a:srgbClr val="000000"/>
              </a:solidFill>
              <a:latin typeface="Times New Roman"/>
              <a:ea typeface="Times New Roman"/>
              <a:cs typeface="Times New Roman"/>
            </a:defRPr>
          </a:pPr>
          <a:endParaRPr lang="ru-RU"/>
        </a:p>
      </c:txPr>
    </c:legend>
    <c:plotVisOnly val="1"/>
    <c:dispBlanksAs val="gap"/>
  </c:chart>
  <c:spPr>
    <a:solidFill>
      <a:srgbClr val="FFFFFF"/>
    </a:solidFill>
    <a:ln>
      <a:noFill/>
    </a:ln>
  </c:spPr>
  <c:txPr>
    <a:bodyPr/>
    <a:lstStyle/>
    <a:p>
      <a:pPr>
        <a:defRPr sz="1092" b="1" i="0" u="none" strike="noStrike" baseline="0">
          <a:solidFill>
            <a:srgbClr val="000000"/>
          </a:solidFill>
          <a:latin typeface="Arial Cyr"/>
          <a:ea typeface="Arial Cyr"/>
          <a:cs typeface="Arial Cyr"/>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ru-RU"/>
  <c:chart>
    <c:view3D>
      <c:rotX val="0"/>
      <c:hPercent val="44"/>
      <c:rotY val="0"/>
      <c:depthPercent val="100"/>
      <c:rAngAx val="1"/>
    </c:view3D>
    <c:floor>
      <c:spPr>
        <a:solidFill>
          <a:srgbClr val="C0C0C0"/>
        </a:solidFill>
        <a:ln w="3175">
          <a:solidFill>
            <a:srgbClr val="000000"/>
          </a:solidFill>
          <a:prstDash val="solid"/>
        </a:ln>
      </c:spPr>
    </c:floor>
    <c:sideWall>
      <c:spPr>
        <a:noFill/>
        <a:ln w="3175">
          <a:solidFill>
            <a:srgbClr val="000000"/>
          </a:solidFill>
          <a:prstDash val="solid"/>
        </a:ln>
      </c:spPr>
    </c:sideWall>
    <c:backWall>
      <c:spPr>
        <a:noFill/>
        <a:ln w="3175">
          <a:solidFill>
            <a:srgbClr val="000000"/>
          </a:solidFill>
          <a:prstDash val="solid"/>
        </a:ln>
      </c:spPr>
    </c:backWall>
    <c:plotArea>
      <c:layout>
        <c:manualLayout>
          <c:layoutTarget val="inner"/>
          <c:xMode val="edge"/>
          <c:yMode val="edge"/>
          <c:x val="5.1194539249146812E-2"/>
          <c:y val="3.0725194533292602E-2"/>
          <c:w val="0.94880546075085359"/>
          <c:h val="0.73837028771656998"/>
        </c:manualLayout>
      </c:layout>
      <c:bar3DChart>
        <c:barDir val="col"/>
        <c:grouping val="clustered"/>
        <c:ser>
          <c:idx val="0"/>
          <c:order val="0"/>
          <c:tx>
            <c:strRef>
              <c:f>Sheet1!$A$2</c:f>
              <c:strCache>
                <c:ptCount val="1"/>
                <c:pt idx="0">
                  <c:v>число источников ЦВ</c:v>
                </c:pt>
              </c:strCache>
            </c:strRef>
          </c:tx>
          <c:spPr>
            <a:pattFill prst="diagBrick">
              <a:fgClr>
                <a:srgbClr val="000000"/>
              </a:fgClr>
              <a:bgClr>
                <a:srgbClr val="FFFFFF"/>
              </a:bgClr>
            </a:pattFill>
            <a:ln w="11675">
              <a:solidFill>
                <a:srgbClr val="000000"/>
              </a:solidFill>
              <a:prstDash val="solid"/>
            </a:ln>
          </c:spPr>
          <c:dLbls>
            <c:dLbl>
              <c:idx val="0"/>
              <c:layout>
                <c:manualLayout>
                  <c:x val="-1.9114230509548321E-4"/>
                  <c:y val="1.7694843987108928E-2"/>
                </c:manualLayout>
              </c:layout>
              <c:showVal val="1"/>
            </c:dLbl>
            <c:dLbl>
              <c:idx val="1"/>
              <c:layout>
                <c:manualLayout>
                  <c:x val="-1.0060859719785206E-3"/>
                  <c:y val="1.3125747331398127E-3"/>
                </c:manualLayout>
              </c:layout>
              <c:showVal val="1"/>
            </c:dLbl>
            <c:dLbl>
              <c:idx val="2"/>
              <c:layout>
                <c:manualLayout>
                  <c:x val="-3.527514280499753E-3"/>
                  <c:y val="-1.0621251172432244E-3"/>
                </c:manualLayout>
              </c:layout>
              <c:showVal val="1"/>
            </c:dLbl>
            <c:spPr>
              <a:noFill/>
              <a:ln w="23349">
                <a:noFill/>
              </a:ln>
            </c:spPr>
            <c:txPr>
              <a:bodyPr/>
              <a:lstStyle/>
              <a:p>
                <a:pPr>
                  <a:defRPr sz="1011" b="0"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2017</c:v>
                </c:pt>
                <c:pt idx="1">
                  <c:v>2018</c:v>
                </c:pt>
                <c:pt idx="2">
                  <c:v>2019</c:v>
                </c:pt>
              </c:numCache>
            </c:numRef>
          </c:cat>
          <c:val>
            <c:numRef>
              <c:f>Sheet1!$B$2:$D$2</c:f>
              <c:numCache>
                <c:formatCode>General</c:formatCode>
                <c:ptCount val="3"/>
                <c:pt idx="0">
                  <c:v>2484</c:v>
                </c:pt>
                <c:pt idx="1">
                  <c:v>2468</c:v>
                </c:pt>
                <c:pt idx="2">
                  <c:v>3193</c:v>
                </c:pt>
              </c:numCache>
            </c:numRef>
          </c:val>
        </c:ser>
        <c:ser>
          <c:idx val="1"/>
          <c:order val="1"/>
          <c:tx>
            <c:strRef>
              <c:f>Sheet1!$A$3</c:f>
              <c:strCache>
                <c:ptCount val="1"/>
                <c:pt idx="0">
                  <c:v>число исследованых проб</c:v>
                </c:pt>
              </c:strCache>
            </c:strRef>
          </c:tx>
          <c:spPr>
            <a:pattFill prst="pct70">
              <a:fgClr>
                <a:srgbClr val="000000"/>
              </a:fgClr>
              <a:bgClr>
                <a:srgbClr val="FFFFFF"/>
              </a:bgClr>
            </a:pattFill>
            <a:ln w="11675">
              <a:solidFill>
                <a:srgbClr val="000000"/>
              </a:solidFill>
              <a:prstDash val="solid"/>
            </a:ln>
          </c:spPr>
          <c:dLbls>
            <c:dLbl>
              <c:idx val="0"/>
              <c:layout>
                <c:manualLayout>
                  <c:x val="6.6221527647483151E-3"/>
                  <c:y val="-8.9859231672020142E-4"/>
                </c:manualLayout>
              </c:layout>
              <c:showVal val="1"/>
            </c:dLbl>
            <c:dLbl>
              <c:idx val="1"/>
              <c:layout>
                <c:manualLayout>
                  <c:x val="2.7998884275917892E-3"/>
                  <c:y val="-8.7962574613597855E-3"/>
                </c:manualLayout>
              </c:layout>
              <c:showVal val="1"/>
            </c:dLbl>
            <c:dLbl>
              <c:idx val="2"/>
              <c:layout>
                <c:manualLayout>
                  <c:x val="1.5056150768039244E-3"/>
                  <c:y val="-5.7784448818897646E-2"/>
                </c:manualLayout>
              </c:layout>
              <c:showVal val="1"/>
            </c:dLbl>
            <c:spPr>
              <a:noFill/>
              <a:ln w="23349">
                <a:noFill/>
              </a:ln>
            </c:spPr>
            <c:txPr>
              <a:bodyPr/>
              <a:lstStyle/>
              <a:p>
                <a:pPr>
                  <a:defRPr sz="1011" b="0"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2017</c:v>
                </c:pt>
                <c:pt idx="1">
                  <c:v>2018</c:v>
                </c:pt>
                <c:pt idx="2">
                  <c:v>2019</c:v>
                </c:pt>
              </c:numCache>
            </c:numRef>
          </c:cat>
          <c:val>
            <c:numRef>
              <c:f>Sheet1!$B$3:$D$3</c:f>
              <c:numCache>
                <c:formatCode>General</c:formatCode>
                <c:ptCount val="3"/>
                <c:pt idx="0">
                  <c:v>493</c:v>
                </c:pt>
                <c:pt idx="1">
                  <c:v>585</c:v>
                </c:pt>
                <c:pt idx="2">
                  <c:v>692</c:v>
                </c:pt>
              </c:numCache>
            </c:numRef>
          </c:val>
        </c:ser>
        <c:dLbls>
          <c:showVal val="1"/>
        </c:dLbls>
        <c:gapDepth val="0"/>
        <c:shape val="box"/>
        <c:axId val="84418560"/>
        <c:axId val="84420096"/>
        <c:axId val="0"/>
      </c:bar3DChart>
      <c:catAx>
        <c:axId val="84418560"/>
        <c:scaling>
          <c:orientation val="minMax"/>
        </c:scaling>
        <c:axPos val="b"/>
        <c:numFmt formatCode="General" sourceLinked="1"/>
        <c:tickLblPos val="low"/>
        <c:spPr>
          <a:ln w="2919">
            <a:solidFill>
              <a:srgbClr val="000000"/>
            </a:solidFill>
            <a:prstDash val="solid"/>
          </a:ln>
        </c:spPr>
        <c:txPr>
          <a:bodyPr rot="0" vert="horz"/>
          <a:lstStyle/>
          <a:p>
            <a:pPr>
              <a:defRPr sz="1011" b="0" i="0" u="none" strike="noStrike" baseline="0">
                <a:solidFill>
                  <a:srgbClr val="000000"/>
                </a:solidFill>
                <a:latin typeface="Times New Roman"/>
                <a:ea typeface="Times New Roman"/>
                <a:cs typeface="Times New Roman"/>
              </a:defRPr>
            </a:pPr>
            <a:endParaRPr lang="ru-RU"/>
          </a:p>
        </c:txPr>
        <c:crossAx val="84420096"/>
        <c:crosses val="autoZero"/>
        <c:auto val="1"/>
        <c:lblAlgn val="ctr"/>
        <c:lblOffset val="100"/>
        <c:tickLblSkip val="1"/>
        <c:tickMarkSkip val="1"/>
      </c:catAx>
      <c:valAx>
        <c:axId val="84420096"/>
        <c:scaling>
          <c:orientation val="minMax"/>
        </c:scaling>
        <c:axPos val="l"/>
        <c:majorGridlines>
          <c:spPr>
            <a:ln w="2919">
              <a:solidFill>
                <a:srgbClr val="000000"/>
              </a:solidFill>
              <a:prstDash val="solid"/>
            </a:ln>
          </c:spPr>
        </c:majorGridlines>
        <c:numFmt formatCode="General" sourceLinked="1"/>
        <c:tickLblPos val="nextTo"/>
        <c:spPr>
          <a:ln w="2919">
            <a:solidFill>
              <a:srgbClr val="000000"/>
            </a:solidFill>
            <a:prstDash val="solid"/>
          </a:ln>
        </c:spPr>
        <c:txPr>
          <a:bodyPr rot="0" vert="horz"/>
          <a:lstStyle/>
          <a:p>
            <a:pPr>
              <a:defRPr sz="1011" b="0" i="0" u="none" strike="noStrike" baseline="0">
                <a:solidFill>
                  <a:srgbClr val="000000"/>
                </a:solidFill>
                <a:latin typeface="Times New Roman"/>
                <a:ea typeface="Times New Roman"/>
                <a:cs typeface="Times New Roman"/>
              </a:defRPr>
            </a:pPr>
            <a:endParaRPr lang="ru-RU"/>
          </a:p>
        </c:txPr>
        <c:crossAx val="84418560"/>
        <c:crosses val="autoZero"/>
        <c:crossBetween val="between"/>
      </c:valAx>
      <c:spPr>
        <a:noFill/>
        <a:ln w="23349">
          <a:noFill/>
        </a:ln>
      </c:spPr>
    </c:plotArea>
    <c:legend>
      <c:legendPos val="r"/>
      <c:layout>
        <c:manualLayout>
          <c:xMode val="edge"/>
          <c:yMode val="edge"/>
          <c:x val="0.27726675427069641"/>
          <c:y val="0.85964912280701766"/>
          <c:w val="0.51905387647831813"/>
          <c:h val="0.13283208020050125"/>
        </c:manualLayout>
      </c:layout>
      <c:spPr>
        <a:noFill/>
        <a:ln w="2919">
          <a:solidFill>
            <a:srgbClr val="000000"/>
          </a:solidFill>
          <a:prstDash val="solid"/>
        </a:ln>
      </c:spPr>
      <c:txPr>
        <a:bodyPr/>
        <a:lstStyle/>
        <a:p>
          <a:pPr>
            <a:defRPr sz="1011"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03"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5A93-03A8-4CDB-86F4-3F0122B86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26</Pages>
  <Words>7938</Words>
  <Characters>54067</Characters>
  <Application>Microsoft Office Word</Application>
  <DocSecurity>0</DocSecurity>
  <Lines>450</Lines>
  <Paragraphs>123</Paragraphs>
  <ScaleCrop>false</ScaleCrop>
  <HeadingPairs>
    <vt:vector size="2" baseType="variant">
      <vt:variant>
        <vt:lpstr>Название</vt:lpstr>
      </vt:variant>
      <vt:variant>
        <vt:i4>1</vt:i4>
      </vt:variant>
    </vt:vector>
  </HeadingPairs>
  <TitlesOfParts>
    <vt:vector size="1" baseType="lpstr">
      <vt:lpstr>УПРАВЛЕНИЕ ФЕДЕРАЛЬНОЙ СЛУЖБЫ ПО НАДЗОРУ В СФЕРЕ ЗАЩИТЫ</vt:lpstr>
    </vt:vector>
  </TitlesOfParts>
  <Company>Microsoft</Company>
  <LinksUpToDate>false</LinksUpToDate>
  <CharactersWithSpaces>61882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ФЕДЕРАЛЬНОЙ СЛУЖБЫ ПО НАДЗОРУ В СФЕРЕ ЗАЩИТЫ</dc:title>
  <dc:creator>user</dc:creator>
  <cp:lastModifiedBy>Треглазов</cp:lastModifiedBy>
  <cp:revision>14</cp:revision>
  <cp:lastPrinted>2019-02-13T08:37:00Z</cp:lastPrinted>
  <dcterms:created xsi:type="dcterms:W3CDTF">2019-02-25T08:48:00Z</dcterms:created>
  <dcterms:modified xsi:type="dcterms:W3CDTF">2021-02-25T09:47:00Z</dcterms:modified>
</cp:coreProperties>
</file>